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10144"/>
      </w:tblGrid>
      <w:tr w:rsidR="000164E8" w:rsidRPr="00392C69" w:rsidTr="00A404A7">
        <w:trPr>
          <w:trHeight w:val="544"/>
        </w:trPr>
        <w:tc>
          <w:tcPr>
            <w:tcW w:w="10144" w:type="dxa"/>
            <w:shd w:val="clear" w:color="auto" w:fill="D9D9D9" w:themeFill="background1" w:themeFillShade="D9"/>
          </w:tcPr>
          <w:p w:rsidR="000164E8" w:rsidRPr="00815734" w:rsidRDefault="00A508E4" w:rsidP="00815734">
            <w:pPr>
              <w:jc w:val="both"/>
              <w:rPr>
                <w:rFonts w:ascii="Arial" w:hAnsi="Arial" w:cs="Arial"/>
                <w:b/>
                <w:lang w:val="en-GB"/>
              </w:rPr>
            </w:pPr>
            <w:r w:rsidRPr="00815734">
              <w:rPr>
                <w:rFonts w:ascii="Arial" w:hAnsi="Arial" w:cs="Arial"/>
                <w:b/>
                <w:lang w:val="en-US"/>
              </w:rPr>
              <w:t>1. Does the building permission or its equivalent have to be submitted together with the application form or should it be submitted together with the grant contract signature ?</w:t>
            </w:r>
          </w:p>
        </w:tc>
      </w:tr>
      <w:tr w:rsidR="000164E8" w:rsidRPr="00392C69" w:rsidTr="00A508E4">
        <w:trPr>
          <w:trHeight w:val="905"/>
        </w:trPr>
        <w:tc>
          <w:tcPr>
            <w:tcW w:w="10144" w:type="dxa"/>
          </w:tcPr>
          <w:p w:rsidR="000164E8" w:rsidRPr="00815734" w:rsidRDefault="006D295E" w:rsidP="006D295E">
            <w:pPr>
              <w:jc w:val="both"/>
              <w:rPr>
                <w:rFonts w:ascii="Arial" w:hAnsi="Arial" w:cs="Arial"/>
                <w:b/>
                <w:lang w:val="en-GB"/>
              </w:rPr>
            </w:pPr>
            <w:r>
              <w:rPr>
                <w:rFonts w:ascii="Arial" w:hAnsi="Arial" w:cs="Arial"/>
                <w:lang w:val="en-GB"/>
              </w:rPr>
              <w:t>In case the building permission is not submitted along with the application form (the relevant option shall be indicated in Annex A9 in this case), t</w:t>
            </w:r>
            <w:r w:rsidR="00A508E4" w:rsidRPr="00815734">
              <w:rPr>
                <w:rFonts w:ascii="Arial" w:hAnsi="Arial" w:cs="Arial"/>
                <w:lang w:val="en-US"/>
              </w:rPr>
              <w:t xml:space="preserve">he building permission or its equivalent should be submitted within a deadline indicated in the award notification letter, not later than 3 months after the date of the letter. If the beneficiaries </w:t>
            </w:r>
            <w:r w:rsidR="00FC5932">
              <w:rPr>
                <w:rFonts w:ascii="Arial" w:hAnsi="Arial" w:cs="Arial"/>
                <w:lang w:val="en-US"/>
              </w:rPr>
              <w:t>do</w:t>
            </w:r>
            <w:r w:rsidR="00A508E4" w:rsidRPr="00815734">
              <w:rPr>
                <w:rFonts w:ascii="Arial" w:hAnsi="Arial" w:cs="Arial"/>
                <w:lang w:val="en-US"/>
              </w:rPr>
              <w:t xml:space="preserve"> not provide </w:t>
            </w:r>
            <w:r w:rsidR="00FC5932">
              <w:rPr>
                <w:rFonts w:ascii="Arial" w:hAnsi="Arial" w:cs="Arial"/>
                <w:lang w:val="en-US"/>
              </w:rPr>
              <w:t xml:space="preserve">a </w:t>
            </w:r>
            <w:r w:rsidR="00A508E4" w:rsidRPr="00815734">
              <w:rPr>
                <w:rFonts w:ascii="Arial" w:hAnsi="Arial" w:cs="Arial"/>
                <w:lang w:val="en-US"/>
              </w:rPr>
              <w:t xml:space="preserve">valid relevant building permission/its equivalent, </w:t>
            </w:r>
            <w:r w:rsidR="00FC5932">
              <w:rPr>
                <w:rFonts w:ascii="Arial" w:hAnsi="Arial" w:cs="Arial"/>
                <w:lang w:val="en-US"/>
              </w:rPr>
              <w:t xml:space="preserve">the </w:t>
            </w:r>
            <w:r w:rsidR="00A508E4" w:rsidRPr="00815734">
              <w:rPr>
                <w:rFonts w:ascii="Arial" w:hAnsi="Arial" w:cs="Arial"/>
                <w:lang w:val="en-US"/>
              </w:rPr>
              <w:t>first pre-financing will not be paid.</w:t>
            </w:r>
          </w:p>
        </w:tc>
      </w:tr>
      <w:tr w:rsidR="000164E8" w:rsidRPr="00392C69" w:rsidTr="00A508E4">
        <w:trPr>
          <w:trHeight w:val="408"/>
        </w:trPr>
        <w:tc>
          <w:tcPr>
            <w:tcW w:w="10144" w:type="dxa"/>
            <w:shd w:val="clear" w:color="auto" w:fill="D9D9D9" w:themeFill="background1" w:themeFillShade="D9"/>
          </w:tcPr>
          <w:p w:rsidR="000164E8" w:rsidRPr="00815734" w:rsidRDefault="00A508E4" w:rsidP="00815734">
            <w:pPr>
              <w:jc w:val="both"/>
              <w:rPr>
                <w:rFonts w:ascii="Arial" w:hAnsi="Arial" w:cs="Arial"/>
                <w:b/>
                <w:lang w:val="en-US"/>
              </w:rPr>
            </w:pPr>
            <w:r w:rsidRPr="00815734">
              <w:rPr>
                <w:rFonts w:ascii="Arial" w:hAnsi="Arial" w:cs="Arial"/>
                <w:b/>
                <w:lang w:val="en-US"/>
              </w:rPr>
              <w:t xml:space="preserve">2. Is VAT an eligible expenditure in the </w:t>
            </w:r>
            <w:proofErr w:type="spellStart"/>
            <w:r w:rsidRPr="00815734">
              <w:rPr>
                <w:rFonts w:ascii="Arial" w:hAnsi="Arial" w:cs="Arial"/>
                <w:b/>
                <w:lang w:val="en-US"/>
              </w:rPr>
              <w:t>Programme</w:t>
            </w:r>
            <w:proofErr w:type="spellEnd"/>
            <w:r w:rsidRPr="00815734">
              <w:rPr>
                <w:rFonts w:ascii="Arial" w:hAnsi="Arial" w:cs="Arial"/>
                <w:b/>
                <w:lang w:val="en-US"/>
              </w:rPr>
              <w:t xml:space="preserve"> ? </w:t>
            </w:r>
          </w:p>
        </w:tc>
      </w:tr>
      <w:tr w:rsidR="000164E8" w:rsidRPr="00392C69" w:rsidTr="00A508E4">
        <w:trPr>
          <w:trHeight w:val="1464"/>
        </w:trPr>
        <w:tc>
          <w:tcPr>
            <w:tcW w:w="10144" w:type="dxa"/>
          </w:tcPr>
          <w:p w:rsidR="00815734" w:rsidRDefault="00A508E4" w:rsidP="00A508E4">
            <w:pPr>
              <w:jc w:val="both"/>
              <w:rPr>
                <w:rFonts w:ascii="Arial" w:eastAsia="Calibri Light" w:hAnsi="Arial" w:cs="Arial"/>
                <w:lang w:val="en-US"/>
              </w:rPr>
            </w:pPr>
            <w:r w:rsidRPr="00815734">
              <w:rPr>
                <w:rFonts w:ascii="Arial" w:hAnsi="Arial" w:cs="Arial"/>
                <w:lang w:val="en-US"/>
              </w:rPr>
              <w:t xml:space="preserve">In case of Russian beneficiaries VAT is an eligible cost in the </w:t>
            </w:r>
            <w:proofErr w:type="spellStart"/>
            <w:r w:rsidRPr="00815734">
              <w:rPr>
                <w:rFonts w:ascii="Arial" w:hAnsi="Arial" w:cs="Arial"/>
                <w:lang w:val="en-US"/>
              </w:rPr>
              <w:t>Programme</w:t>
            </w:r>
            <w:proofErr w:type="spellEnd"/>
            <w:r w:rsidRPr="00815734">
              <w:rPr>
                <w:rFonts w:ascii="Arial" w:hAnsi="Arial" w:cs="Arial"/>
                <w:lang w:val="en-US"/>
              </w:rPr>
              <w:t>. Whereas i</w:t>
            </w:r>
            <w:r w:rsidR="00FC5932">
              <w:rPr>
                <w:rFonts w:ascii="Arial" w:hAnsi="Arial" w:cs="Arial"/>
                <w:lang w:val="en-US"/>
              </w:rPr>
              <w:t>n</w:t>
            </w:r>
            <w:r w:rsidRPr="00815734">
              <w:rPr>
                <w:rFonts w:ascii="Arial" w:hAnsi="Arial" w:cs="Arial"/>
                <w:lang w:val="en-US"/>
              </w:rPr>
              <w:t xml:space="preserve"> case of Polish beneficiaries VAT is generally </w:t>
            </w:r>
            <w:r w:rsidR="00FC5932">
              <w:rPr>
                <w:rFonts w:ascii="Arial" w:hAnsi="Arial" w:cs="Arial"/>
                <w:lang w:val="en-US"/>
              </w:rPr>
              <w:t xml:space="preserve">a </w:t>
            </w:r>
            <w:r w:rsidRPr="00815734">
              <w:rPr>
                <w:rFonts w:ascii="Arial" w:hAnsi="Arial" w:cs="Arial"/>
                <w:lang w:val="en-US"/>
              </w:rPr>
              <w:t xml:space="preserve">non-eligible cost, but if the institution is not able to recover </w:t>
            </w:r>
            <w:r w:rsidRPr="001E78C6">
              <w:rPr>
                <w:rFonts w:ascii="Arial" w:hAnsi="Arial" w:cs="Arial"/>
                <w:color w:val="000000" w:themeColor="text1"/>
                <w:lang w:val="en-US"/>
              </w:rPr>
              <w:t>VAT, it</w:t>
            </w:r>
            <w:r w:rsidRPr="00815734">
              <w:rPr>
                <w:rFonts w:ascii="Arial" w:hAnsi="Arial" w:cs="Arial"/>
                <w:lang w:val="en-US"/>
              </w:rPr>
              <w:t xml:space="preserve"> can be consider</w:t>
            </w:r>
            <w:r w:rsidR="00FC5932">
              <w:rPr>
                <w:rFonts w:ascii="Arial" w:hAnsi="Arial" w:cs="Arial"/>
                <w:lang w:val="en-US"/>
              </w:rPr>
              <w:t>ed</w:t>
            </w:r>
            <w:r w:rsidRPr="00815734">
              <w:rPr>
                <w:rFonts w:ascii="Arial" w:hAnsi="Arial" w:cs="Arial"/>
                <w:lang w:val="en-US"/>
              </w:rPr>
              <w:t xml:space="preserve"> as an eligible cost (</w:t>
            </w:r>
            <w:r w:rsidRPr="00815734">
              <w:rPr>
                <w:rFonts w:ascii="Arial" w:eastAsia="Calibri" w:hAnsi="Arial" w:cs="Arial"/>
                <w:lang w:val="en-GB"/>
              </w:rPr>
              <w:t xml:space="preserve">in accordance with </w:t>
            </w:r>
            <w:r w:rsidR="00FC5932">
              <w:rPr>
                <w:rFonts w:ascii="Arial" w:eastAsia="Calibri" w:hAnsi="Arial" w:cs="Arial"/>
                <w:lang w:val="en-GB"/>
              </w:rPr>
              <w:t>C</w:t>
            </w:r>
            <w:r w:rsidRPr="00815734">
              <w:rPr>
                <w:rFonts w:ascii="Arial" w:eastAsia="Calibri" w:hAnsi="Arial" w:cs="Arial"/>
                <w:lang w:val="en-GB"/>
              </w:rPr>
              <w:t xml:space="preserve">hapter 6.3.1 of the Programme Manual, </w:t>
            </w:r>
            <w:r w:rsidRPr="00815734">
              <w:rPr>
                <w:rFonts w:ascii="Arial" w:hAnsi="Arial" w:cs="Arial"/>
                <w:lang w:val="en-US"/>
              </w:rPr>
              <w:t xml:space="preserve">non-eligible costs </w:t>
            </w:r>
            <w:r w:rsidRPr="00815734">
              <w:rPr>
                <w:rFonts w:ascii="Arial" w:hAnsi="Arial" w:cs="Arial"/>
                <w:color w:val="000000"/>
                <w:lang w:val="en-US"/>
              </w:rPr>
              <w:t>are:</w:t>
            </w:r>
            <w:r w:rsidRPr="00815734">
              <w:rPr>
                <w:rFonts w:ascii="Arial" w:hAnsi="Arial" w:cs="Arial"/>
                <w:lang w:val="en-US"/>
              </w:rPr>
              <w:t xml:space="preserve"> </w:t>
            </w:r>
            <w:r w:rsidRPr="00815734">
              <w:rPr>
                <w:rFonts w:ascii="Arial" w:eastAsia="Calibri Light" w:hAnsi="Arial" w:cs="Arial"/>
                <w:lang w:val="en-US"/>
              </w:rPr>
              <w:t>duties, taxes and charges, including VAT, except where non-recoverable under the relevant national tax legislation, unless otherwise provided in appropriate provisions negotiated with CBC partner countries).</w:t>
            </w:r>
          </w:p>
          <w:p w:rsidR="00815734" w:rsidRPr="00815734" w:rsidRDefault="00815734" w:rsidP="00A508E4">
            <w:pPr>
              <w:jc w:val="both"/>
              <w:rPr>
                <w:rFonts w:ascii="Arial" w:eastAsia="Calibri Light" w:hAnsi="Arial" w:cs="Arial"/>
                <w:lang w:val="en-US"/>
              </w:rPr>
            </w:pPr>
          </w:p>
        </w:tc>
      </w:tr>
      <w:tr w:rsidR="00A404A7" w:rsidRPr="00392C69" w:rsidTr="00A404A7">
        <w:trPr>
          <w:trHeight w:val="544"/>
        </w:trPr>
        <w:tc>
          <w:tcPr>
            <w:tcW w:w="10144" w:type="dxa"/>
            <w:shd w:val="clear" w:color="auto" w:fill="D9D9D9" w:themeFill="background1" w:themeFillShade="D9"/>
          </w:tcPr>
          <w:p w:rsidR="00A508E4" w:rsidRPr="00815734" w:rsidRDefault="00A508E4" w:rsidP="00DD7051">
            <w:pPr>
              <w:jc w:val="both"/>
              <w:rPr>
                <w:rFonts w:ascii="Arial" w:hAnsi="Arial" w:cs="Arial"/>
                <w:b/>
                <w:lang w:val="en-US"/>
              </w:rPr>
            </w:pPr>
            <w:r w:rsidRPr="00815734">
              <w:rPr>
                <w:rFonts w:ascii="Arial" w:hAnsi="Arial" w:cs="Arial"/>
                <w:b/>
                <w:lang w:val="en-US"/>
              </w:rPr>
              <w:t>3. If a part of investment costs (costs regarding the infrastructure)  has been already incurred, will this cost be treat</w:t>
            </w:r>
            <w:r w:rsidR="00DD7051">
              <w:rPr>
                <w:rFonts w:ascii="Arial" w:hAnsi="Arial" w:cs="Arial"/>
                <w:b/>
                <w:lang w:val="en-US"/>
              </w:rPr>
              <w:t>ed</w:t>
            </w:r>
            <w:r w:rsidRPr="00815734">
              <w:rPr>
                <w:rFonts w:ascii="Arial" w:hAnsi="Arial" w:cs="Arial"/>
                <w:b/>
                <w:lang w:val="en-US"/>
              </w:rPr>
              <w:t xml:space="preserve"> as non-eligible ? </w:t>
            </w:r>
          </w:p>
        </w:tc>
      </w:tr>
      <w:tr w:rsidR="00A404A7" w:rsidRPr="00392C69" w:rsidTr="00A404A7">
        <w:trPr>
          <w:trHeight w:val="544"/>
        </w:trPr>
        <w:tc>
          <w:tcPr>
            <w:tcW w:w="10144" w:type="dxa"/>
          </w:tcPr>
          <w:p w:rsidR="00A508E4" w:rsidRPr="00815734" w:rsidRDefault="00A508E4" w:rsidP="00A508E4">
            <w:pPr>
              <w:jc w:val="both"/>
              <w:rPr>
                <w:rFonts w:ascii="Arial" w:hAnsi="Arial" w:cs="Arial"/>
                <w:color w:val="000000"/>
                <w:lang w:val="en-US"/>
              </w:rPr>
            </w:pPr>
            <w:r w:rsidRPr="00815734">
              <w:rPr>
                <w:rFonts w:ascii="Arial" w:hAnsi="Arial" w:cs="Arial"/>
                <w:color w:val="000000"/>
                <w:lang w:val="en-US"/>
              </w:rPr>
              <w:t xml:space="preserve">Within the retroactive grant, it is possible to incur costs before </w:t>
            </w:r>
            <w:r w:rsidR="001E78C6">
              <w:rPr>
                <w:rFonts w:ascii="Arial" w:hAnsi="Arial" w:cs="Arial"/>
                <w:color w:val="000000"/>
                <w:lang w:val="en-US"/>
              </w:rPr>
              <w:t>the contract</w:t>
            </w:r>
            <w:r w:rsidRPr="00815734">
              <w:rPr>
                <w:rFonts w:ascii="Arial" w:hAnsi="Arial" w:cs="Arial"/>
                <w:color w:val="000000"/>
                <w:lang w:val="en-US"/>
              </w:rPr>
              <w:t xml:space="preserve"> is signed</w:t>
            </w:r>
            <w:r w:rsidR="001E78C6">
              <w:rPr>
                <w:rFonts w:ascii="Arial" w:hAnsi="Arial" w:cs="Arial"/>
                <w:color w:val="000000"/>
                <w:lang w:val="en-US"/>
              </w:rPr>
              <w:t xml:space="preserve">, </w:t>
            </w:r>
            <w:r w:rsidRPr="00815734">
              <w:rPr>
                <w:rFonts w:ascii="Arial" w:hAnsi="Arial" w:cs="Arial"/>
                <w:color w:val="000000"/>
                <w:lang w:val="en-US"/>
              </w:rPr>
              <w:t>but it is important to remember that each time the beneficiaries have to demonstrate the need to start investment and thus incur costs before the contract is signed. Please, bear in mind that such costs, however, shall not have been incurred prior to the date of submission of the application form to the Joint Technical Secretariat.</w:t>
            </w:r>
          </w:p>
          <w:p w:rsidR="00FB2E0E" w:rsidRPr="00815734" w:rsidRDefault="00FB2E0E" w:rsidP="00FB2E0E">
            <w:pPr>
              <w:ind w:left="34"/>
              <w:jc w:val="both"/>
              <w:rPr>
                <w:rFonts w:ascii="Arial" w:eastAsia="Calibri" w:hAnsi="Arial" w:cs="Arial"/>
                <w:lang w:val="en-US"/>
              </w:rPr>
            </w:pPr>
          </w:p>
        </w:tc>
      </w:tr>
      <w:tr w:rsidR="00A404A7" w:rsidRPr="00392C69" w:rsidTr="00A404A7">
        <w:trPr>
          <w:trHeight w:val="272"/>
        </w:trPr>
        <w:tc>
          <w:tcPr>
            <w:tcW w:w="10144" w:type="dxa"/>
            <w:shd w:val="clear" w:color="auto" w:fill="D9D9D9" w:themeFill="background1" w:themeFillShade="D9"/>
          </w:tcPr>
          <w:p w:rsidR="00A404A7" w:rsidRPr="00815734" w:rsidRDefault="00A508E4" w:rsidP="00815734">
            <w:pPr>
              <w:jc w:val="both"/>
              <w:rPr>
                <w:rFonts w:ascii="Arial" w:hAnsi="Arial" w:cs="Arial"/>
                <w:b/>
                <w:lang w:val="en-US"/>
              </w:rPr>
            </w:pPr>
            <w:r w:rsidRPr="00815734">
              <w:rPr>
                <w:rFonts w:ascii="Arial" w:hAnsi="Arial" w:cs="Arial"/>
                <w:b/>
                <w:lang w:val="en-US"/>
              </w:rPr>
              <w:t xml:space="preserve">4. Has the eligibility of the costs started from the date of submission of the application form or from the date of signing the grant contract ? </w:t>
            </w:r>
          </w:p>
        </w:tc>
      </w:tr>
      <w:tr w:rsidR="00A404A7" w:rsidRPr="00392C69" w:rsidTr="00A508E4">
        <w:trPr>
          <w:trHeight w:val="3483"/>
        </w:trPr>
        <w:tc>
          <w:tcPr>
            <w:tcW w:w="10144" w:type="dxa"/>
          </w:tcPr>
          <w:p w:rsidR="00A508E4" w:rsidRPr="00815734" w:rsidRDefault="00A508E4" w:rsidP="00815734">
            <w:pPr>
              <w:ind w:left="34"/>
              <w:jc w:val="both"/>
              <w:rPr>
                <w:rFonts w:ascii="Arial" w:eastAsia="Calibri" w:hAnsi="Arial" w:cs="Arial"/>
                <w:lang w:val="en-GB"/>
              </w:rPr>
            </w:pPr>
            <w:r w:rsidRPr="00815734">
              <w:rPr>
                <w:rFonts w:ascii="Arial" w:eastAsia="Calibri" w:hAnsi="Arial" w:cs="Arial"/>
                <w:lang w:val="en-GB"/>
              </w:rPr>
              <w:t>In general costs are eligible after the grant contract is signed (the exact date will be set out in the grant contract). By the way of exception, it is possible to incur some costs before signing the grant contract:</w:t>
            </w:r>
          </w:p>
          <w:p w:rsidR="00A508E4" w:rsidRPr="00815734" w:rsidRDefault="00A508E4" w:rsidP="00815734">
            <w:pPr>
              <w:pStyle w:val="Akapitzlist"/>
              <w:numPr>
                <w:ilvl w:val="0"/>
                <w:numId w:val="17"/>
              </w:numPr>
              <w:jc w:val="both"/>
              <w:rPr>
                <w:rFonts w:ascii="Arial" w:eastAsia="Calibri" w:hAnsi="Arial" w:cs="Arial"/>
                <w:lang w:val="en-GB"/>
              </w:rPr>
            </w:pPr>
            <w:r w:rsidRPr="00815734">
              <w:rPr>
                <w:rFonts w:ascii="Arial" w:eastAsia="Calibri" w:hAnsi="Arial" w:cs="Arial"/>
                <w:lang w:val="en-GB"/>
              </w:rPr>
              <w:t>for activities related to the preparation of strong partnerships in the project (limited to the travel, accommodation and subsistence costs of staff employed by the beneficiaries) - costs are eligible after the publication of the call for proposals;</w:t>
            </w:r>
          </w:p>
          <w:p w:rsidR="00A508E4" w:rsidRPr="00815734" w:rsidRDefault="00A508E4" w:rsidP="00815734">
            <w:pPr>
              <w:pStyle w:val="Akapitzlist"/>
              <w:numPr>
                <w:ilvl w:val="0"/>
                <w:numId w:val="17"/>
              </w:numPr>
              <w:jc w:val="both"/>
              <w:rPr>
                <w:rFonts w:ascii="Arial" w:eastAsia="Calibri" w:hAnsi="Arial" w:cs="Arial"/>
                <w:lang w:val="en-GB"/>
              </w:rPr>
            </w:pPr>
            <w:r w:rsidRPr="00815734">
              <w:rPr>
                <w:rFonts w:ascii="Arial" w:eastAsia="Calibri" w:hAnsi="Arial" w:cs="Arial"/>
                <w:lang w:val="en-GB"/>
              </w:rPr>
              <w:t>within the framework of a retroactive grant – to prepare technical documentation and feasibility studies related to the infrastructure component – costs are eligible from 8th December 2016;</w:t>
            </w:r>
          </w:p>
          <w:p w:rsidR="00A508E4" w:rsidRPr="00815734" w:rsidRDefault="00A508E4" w:rsidP="00815734">
            <w:pPr>
              <w:pStyle w:val="Akapitzlist"/>
              <w:numPr>
                <w:ilvl w:val="0"/>
                <w:numId w:val="17"/>
              </w:numPr>
              <w:jc w:val="both"/>
              <w:rPr>
                <w:rFonts w:ascii="Arial" w:hAnsi="Arial" w:cs="Arial"/>
                <w:color w:val="000000"/>
                <w:lang w:val="en-US"/>
              </w:rPr>
            </w:pPr>
            <w:r w:rsidRPr="00815734">
              <w:rPr>
                <w:rFonts w:ascii="Arial" w:eastAsia="Calibri" w:hAnsi="Arial" w:cs="Arial"/>
                <w:lang w:val="en-GB"/>
              </w:rPr>
              <w:t>under the retroactive grant - other costs than the preparation of technical documentation and feasibility studies, if the beneficiaries can demonstrate the need to start the project before the contract is signed – such costs, however, shall not have been incurred prior to the date of the submission of the application form to the Joint Technical Secretariat.</w:t>
            </w:r>
          </w:p>
        </w:tc>
      </w:tr>
      <w:tr w:rsidR="00A404A7" w:rsidRPr="00182589" w:rsidTr="00A404A7">
        <w:trPr>
          <w:trHeight w:val="272"/>
        </w:trPr>
        <w:tc>
          <w:tcPr>
            <w:tcW w:w="10144" w:type="dxa"/>
            <w:shd w:val="clear" w:color="auto" w:fill="D9D9D9" w:themeFill="background1" w:themeFillShade="D9"/>
          </w:tcPr>
          <w:p w:rsidR="00987EBE" w:rsidRPr="00815734" w:rsidRDefault="00A508E4" w:rsidP="00815734">
            <w:pPr>
              <w:jc w:val="both"/>
              <w:rPr>
                <w:rFonts w:ascii="Arial" w:hAnsi="Arial" w:cs="Arial"/>
                <w:b/>
                <w:lang w:val="en-US"/>
              </w:rPr>
            </w:pPr>
            <w:r w:rsidRPr="00815734">
              <w:rPr>
                <w:rFonts w:ascii="Arial" w:hAnsi="Arial" w:cs="Arial"/>
                <w:b/>
                <w:lang w:val="en-US"/>
              </w:rPr>
              <w:t xml:space="preserve">5. Is it possible to indicate the exact date of </w:t>
            </w:r>
            <w:r w:rsidR="00182589">
              <w:rPr>
                <w:rFonts w:ascii="Arial" w:hAnsi="Arial" w:cs="Arial"/>
                <w:b/>
                <w:lang w:val="en-US"/>
              </w:rPr>
              <w:t xml:space="preserve">the </w:t>
            </w:r>
            <w:r w:rsidRPr="00815734">
              <w:rPr>
                <w:rFonts w:ascii="Arial" w:hAnsi="Arial" w:cs="Arial"/>
                <w:b/>
                <w:lang w:val="en-US"/>
              </w:rPr>
              <w:t xml:space="preserve">planned call for proposals ? For example by indicating a particular month ? </w:t>
            </w:r>
          </w:p>
        </w:tc>
      </w:tr>
      <w:tr w:rsidR="00A404A7" w:rsidRPr="00392C69" w:rsidTr="00A404A7">
        <w:trPr>
          <w:trHeight w:val="272"/>
        </w:trPr>
        <w:tc>
          <w:tcPr>
            <w:tcW w:w="10144" w:type="dxa"/>
          </w:tcPr>
          <w:p w:rsidR="00987EBE" w:rsidRPr="00BA10BA" w:rsidRDefault="00BA10BA" w:rsidP="00A508E4">
            <w:pPr>
              <w:jc w:val="both"/>
              <w:rPr>
                <w:rFonts w:ascii="Arial" w:hAnsi="Arial" w:cs="Arial"/>
                <w:color w:val="000000"/>
                <w:shd w:val="clear" w:color="auto" w:fill="FFFFFF"/>
                <w:lang w:val="en-GB"/>
              </w:rPr>
            </w:pPr>
            <w:r w:rsidRPr="00BA10BA">
              <w:rPr>
                <w:rFonts w:ascii="Arial" w:hAnsi="Arial" w:cs="Arial"/>
                <w:color w:val="000000"/>
                <w:shd w:val="clear" w:color="auto" w:fill="FFFFFF"/>
                <w:lang w:val="en-GB"/>
              </w:rPr>
              <w:t>The date of the call for proposals within the Poland-Russia Cross-border Cooperation Programme 2014-2020 has not been set yet.</w:t>
            </w:r>
          </w:p>
          <w:p w:rsidR="00815734" w:rsidRPr="00815734" w:rsidRDefault="00815734" w:rsidP="00A508E4">
            <w:pPr>
              <w:jc w:val="both"/>
              <w:rPr>
                <w:rFonts w:ascii="Arial" w:hAnsi="Arial" w:cs="Arial"/>
                <w:color w:val="000000" w:themeColor="text1"/>
                <w:lang w:val="en-US"/>
              </w:rPr>
            </w:pPr>
          </w:p>
        </w:tc>
      </w:tr>
      <w:tr w:rsidR="00A404A7" w:rsidRPr="00392C69" w:rsidTr="00A404A7">
        <w:trPr>
          <w:trHeight w:val="272"/>
        </w:trPr>
        <w:tc>
          <w:tcPr>
            <w:tcW w:w="10144" w:type="dxa"/>
            <w:shd w:val="clear" w:color="auto" w:fill="D9D9D9" w:themeFill="background1" w:themeFillShade="D9"/>
          </w:tcPr>
          <w:p w:rsidR="00A404A7" w:rsidRPr="00815734" w:rsidRDefault="00A508E4" w:rsidP="00182589">
            <w:pPr>
              <w:jc w:val="both"/>
              <w:rPr>
                <w:rFonts w:ascii="Arial" w:hAnsi="Arial" w:cs="Arial"/>
                <w:b/>
                <w:lang w:val="en-US"/>
              </w:rPr>
            </w:pPr>
            <w:r w:rsidRPr="00815734">
              <w:rPr>
                <w:rFonts w:ascii="Arial" w:hAnsi="Arial" w:cs="Arial"/>
                <w:b/>
                <w:lang w:val="en-US"/>
              </w:rPr>
              <w:t xml:space="preserve">6. With respect to Annex 4 (the lead beneficiary’s declaration on ensuring the funds necessary for project implementation) shall the lead beneficiary provide any proof of ensuring the funds of the minimum 10% co-financing of the project, for example prove of ensuring funds in the budget of </w:t>
            </w:r>
            <w:r w:rsidR="00182589">
              <w:rPr>
                <w:rFonts w:ascii="Arial" w:hAnsi="Arial" w:cs="Arial"/>
                <w:b/>
                <w:lang w:val="en-US"/>
              </w:rPr>
              <w:t xml:space="preserve">a </w:t>
            </w:r>
            <w:proofErr w:type="spellStart"/>
            <w:r w:rsidRPr="00815734">
              <w:rPr>
                <w:rFonts w:ascii="Arial" w:hAnsi="Arial" w:cs="Arial"/>
                <w:b/>
                <w:lang w:val="en-US"/>
              </w:rPr>
              <w:t>voivodship</w:t>
            </w:r>
            <w:proofErr w:type="spellEnd"/>
            <w:r w:rsidRPr="00815734">
              <w:rPr>
                <w:rFonts w:ascii="Arial" w:hAnsi="Arial" w:cs="Arial"/>
                <w:b/>
                <w:lang w:val="en-US"/>
              </w:rPr>
              <w:t xml:space="preserve"> ?  Or is it enough to fulfil the statement by the lead beneficiary together with the e-application ? </w:t>
            </w:r>
          </w:p>
        </w:tc>
      </w:tr>
      <w:tr w:rsidR="00A404A7" w:rsidRPr="00392C69" w:rsidTr="00A404A7">
        <w:trPr>
          <w:trHeight w:val="257"/>
        </w:trPr>
        <w:tc>
          <w:tcPr>
            <w:tcW w:w="10144" w:type="dxa"/>
          </w:tcPr>
          <w:p w:rsidR="00A508E4" w:rsidRPr="00815734" w:rsidRDefault="00A508E4" w:rsidP="00A508E4">
            <w:pPr>
              <w:jc w:val="both"/>
              <w:rPr>
                <w:rFonts w:ascii="Arial" w:hAnsi="Arial" w:cs="Arial"/>
                <w:lang w:val="en-US"/>
              </w:rPr>
            </w:pPr>
            <w:r w:rsidRPr="00815734">
              <w:rPr>
                <w:rFonts w:ascii="Arial" w:hAnsi="Arial" w:cs="Arial"/>
                <w:lang w:val="en-US"/>
              </w:rPr>
              <w:lastRenderedPageBreak/>
              <w:t xml:space="preserve">The lead beneficiaries have to only provide </w:t>
            </w:r>
            <w:r w:rsidR="00182589">
              <w:rPr>
                <w:rFonts w:ascii="Arial" w:hAnsi="Arial" w:cs="Arial"/>
                <w:lang w:val="en-US"/>
              </w:rPr>
              <w:t xml:space="preserve">a </w:t>
            </w:r>
            <w:r w:rsidRPr="00815734">
              <w:rPr>
                <w:rFonts w:ascii="Arial" w:hAnsi="Arial" w:cs="Arial"/>
                <w:lang w:val="en-US"/>
              </w:rPr>
              <w:t xml:space="preserve">statement filled in and submitted via </w:t>
            </w:r>
            <w:r w:rsidRPr="00815734">
              <w:rPr>
                <w:rFonts w:ascii="Arial" w:hAnsi="Arial" w:cs="Arial"/>
                <w:lang w:val="en-US"/>
              </w:rPr>
              <w:br/>
              <w:t>e-application.</w:t>
            </w:r>
            <w:r w:rsidRPr="00815734">
              <w:rPr>
                <w:rFonts w:ascii="Arial" w:hAnsi="Arial" w:cs="Arial"/>
                <w:lang w:val="en-US"/>
              </w:rPr>
              <w:br/>
            </w:r>
          </w:p>
        </w:tc>
      </w:tr>
      <w:tr w:rsidR="00A404A7" w:rsidRPr="00392C69" w:rsidTr="00335AEE">
        <w:trPr>
          <w:trHeight w:val="287"/>
        </w:trPr>
        <w:tc>
          <w:tcPr>
            <w:tcW w:w="10144" w:type="dxa"/>
            <w:shd w:val="clear" w:color="auto" w:fill="D9D9D9" w:themeFill="background1" w:themeFillShade="D9"/>
          </w:tcPr>
          <w:p w:rsidR="00A404A7" w:rsidRPr="00815734" w:rsidRDefault="00A508E4" w:rsidP="00815734">
            <w:pPr>
              <w:jc w:val="both"/>
              <w:rPr>
                <w:rFonts w:ascii="Arial" w:hAnsi="Arial" w:cs="Arial"/>
                <w:b/>
                <w:color w:val="000000" w:themeColor="text1"/>
                <w:lang w:val="en-US"/>
              </w:rPr>
            </w:pPr>
            <w:r w:rsidRPr="00815734">
              <w:rPr>
                <w:rFonts w:ascii="Arial" w:hAnsi="Arial" w:cs="Arial"/>
                <w:b/>
                <w:lang w:val="en-US"/>
              </w:rPr>
              <w:t xml:space="preserve">7. Does the project include expenditures which might be considered as State aid ? </w:t>
            </w:r>
          </w:p>
        </w:tc>
      </w:tr>
      <w:tr w:rsidR="00335AEE" w:rsidRPr="00392C69" w:rsidTr="00A508E4">
        <w:trPr>
          <w:trHeight w:val="771"/>
        </w:trPr>
        <w:tc>
          <w:tcPr>
            <w:tcW w:w="10144" w:type="dxa"/>
            <w:shd w:val="clear" w:color="auto" w:fill="auto"/>
          </w:tcPr>
          <w:p w:rsidR="00987EBE" w:rsidRPr="00815734" w:rsidRDefault="00A508E4" w:rsidP="00A508E4">
            <w:pPr>
              <w:jc w:val="both"/>
              <w:rPr>
                <w:rFonts w:ascii="Arial" w:hAnsi="Arial" w:cs="Arial"/>
                <w:color w:val="000000" w:themeColor="text1"/>
                <w:lang w:val="en-US"/>
              </w:rPr>
            </w:pPr>
            <w:r w:rsidRPr="00815734">
              <w:rPr>
                <w:rFonts w:ascii="Arial" w:eastAsia="Times New Roman" w:hAnsi="Arial" w:cs="Arial"/>
                <w:color w:val="000000" w:themeColor="text1"/>
                <w:lang w:val="en-US"/>
              </w:rPr>
              <w:t xml:space="preserve">The actions constituting State aid would not be eligible. </w:t>
            </w:r>
            <w:r w:rsidRPr="00815734">
              <w:rPr>
                <w:rFonts w:ascii="Arial" w:hAnsi="Arial" w:cs="Arial"/>
                <w:color w:val="000000" w:themeColor="text1"/>
                <w:lang w:val="en-US"/>
              </w:rPr>
              <w:t>They have to be removed from the application form or changed so that they do not constitute state aid.</w:t>
            </w:r>
          </w:p>
          <w:p w:rsidR="00987EBE" w:rsidRPr="00815734" w:rsidRDefault="00987EBE" w:rsidP="00335AEE">
            <w:pPr>
              <w:ind w:left="34"/>
              <w:jc w:val="both"/>
              <w:rPr>
                <w:rFonts w:ascii="Arial" w:hAnsi="Arial" w:cs="Arial"/>
                <w:b/>
                <w:lang w:val="en-US"/>
              </w:rPr>
            </w:pPr>
          </w:p>
        </w:tc>
      </w:tr>
      <w:tr w:rsidR="00335AEE" w:rsidRPr="006D295E" w:rsidTr="00335AEE">
        <w:trPr>
          <w:trHeight w:val="287"/>
        </w:trPr>
        <w:tc>
          <w:tcPr>
            <w:tcW w:w="10144" w:type="dxa"/>
            <w:shd w:val="clear" w:color="auto" w:fill="D9D9D9" w:themeFill="background1" w:themeFillShade="D9"/>
          </w:tcPr>
          <w:p w:rsidR="00A508E4" w:rsidRPr="00815734" w:rsidRDefault="00A508E4" w:rsidP="00815734">
            <w:pPr>
              <w:jc w:val="both"/>
              <w:rPr>
                <w:rFonts w:ascii="Arial" w:hAnsi="Arial" w:cs="Arial"/>
                <w:b/>
                <w:lang w:val="en-US"/>
              </w:rPr>
            </w:pPr>
            <w:r w:rsidRPr="00815734">
              <w:rPr>
                <w:rFonts w:ascii="Arial" w:hAnsi="Arial" w:cs="Arial"/>
                <w:b/>
                <w:lang w:val="en-US"/>
              </w:rPr>
              <w:t xml:space="preserve">8. Profit is defined as a surplus of receipts (i.e. EU contribution, revenues, interest from </w:t>
            </w:r>
            <w:r w:rsidRPr="00815734">
              <w:rPr>
                <w:rFonts w:ascii="Arial" w:hAnsi="Arial" w:cs="Arial"/>
                <w:b/>
                <w:lang w:val="en-US"/>
              </w:rPr>
              <w:br/>
              <w:t>pre-financing, other contributions) over the eligible costs</w:t>
            </w:r>
            <w:r w:rsidR="006F6FFD">
              <w:rPr>
                <w:rFonts w:ascii="Arial" w:hAnsi="Arial" w:cs="Arial"/>
                <w:b/>
                <w:lang w:val="en-US"/>
              </w:rPr>
              <w:t>,</w:t>
            </w:r>
            <w:r w:rsidR="006D295E">
              <w:rPr>
                <w:rFonts w:ascii="Arial" w:hAnsi="Arial" w:cs="Arial"/>
                <w:b/>
                <w:lang w:val="en-US"/>
              </w:rPr>
              <w:t xml:space="preserve"> and it is not allowed within the </w:t>
            </w:r>
            <w:proofErr w:type="spellStart"/>
            <w:r w:rsidR="006D295E">
              <w:rPr>
                <w:rFonts w:ascii="Arial" w:hAnsi="Arial" w:cs="Arial"/>
                <w:b/>
                <w:lang w:val="en-US"/>
              </w:rPr>
              <w:t>Programme</w:t>
            </w:r>
            <w:proofErr w:type="spellEnd"/>
            <w:r w:rsidRPr="00815734">
              <w:rPr>
                <w:rFonts w:ascii="Arial" w:hAnsi="Arial" w:cs="Arial"/>
                <w:b/>
                <w:lang w:val="en-US"/>
              </w:rPr>
              <w:t xml:space="preserve">. Should we </w:t>
            </w:r>
            <w:r w:rsidR="006D295E">
              <w:rPr>
                <w:rFonts w:ascii="Arial" w:hAnsi="Arial" w:cs="Arial"/>
                <w:b/>
                <w:lang w:val="en-US"/>
              </w:rPr>
              <w:t>indicate</w:t>
            </w:r>
            <w:r w:rsidR="006D295E" w:rsidRPr="00815734">
              <w:rPr>
                <w:rFonts w:ascii="Arial" w:hAnsi="Arial" w:cs="Arial"/>
                <w:b/>
                <w:lang w:val="en-US"/>
              </w:rPr>
              <w:t xml:space="preserve"> </w:t>
            </w:r>
            <w:r w:rsidRPr="00815734">
              <w:rPr>
                <w:rFonts w:ascii="Arial" w:hAnsi="Arial" w:cs="Arial"/>
                <w:b/>
                <w:lang w:val="en-US"/>
              </w:rPr>
              <w:t xml:space="preserve">revenues or net revenues as a part of receipts? How do you define </w:t>
            </w:r>
            <w:r w:rsidR="00182589">
              <w:rPr>
                <w:rFonts w:ascii="Arial" w:hAnsi="Arial" w:cs="Arial"/>
                <w:b/>
                <w:lang w:val="en-US"/>
              </w:rPr>
              <w:t xml:space="preserve">a </w:t>
            </w:r>
            <w:r w:rsidRPr="00815734">
              <w:rPr>
                <w:rFonts w:ascii="Arial" w:hAnsi="Arial" w:cs="Arial"/>
                <w:b/>
                <w:lang w:val="en-US"/>
              </w:rPr>
              <w:t>project implementation period?</w:t>
            </w:r>
          </w:p>
          <w:p w:rsidR="00335AEE" w:rsidRPr="00815734" w:rsidRDefault="00335AEE" w:rsidP="00987EBE">
            <w:pPr>
              <w:jc w:val="both"/>
              <w:rPr>
                <w:rFonts w:ascii="Arial" w:hAnsi="Arial" w:cs="Arial"/>
                <w:b/>
                <w:lang w:val="en-GB"/>
              </w:rPr>
            </w:pPr>
          </w:p>
        </w:tc>
      </w:tr>
      <w:tr w:rsidR="00335AEE" w:rsidRPr="00392C69" w:rsidTr="00335AEE">
        <w:trPr>
          <w:trHeight w:val="287"/>
        </w:trPr>
        <w:tc>
          <w:tcPr>
            <w:tcW w:w="10144" w:type="dxa"/>
            <w:shd w:val="clear" w:color="auto" w:fill="auto"/>
          </w:tcPr>
          <w:p w:rsidR="00A508E4" w:rsidRPr="00815734" w:rsidRDefault="00A508E4" w:rsidP="00A508E4">
            <w:pPr>
              <w:pStyle w:val="Zwykytekst"/>
              <w:jc w:val="both"/>
              <w:rPr>
                <w:rFonts w:ascii="Arial" w:hAnsi="Arial" w:cs="Arial"/>
                <w:sz w:val="22"/>
                <w:szCs w:val="22"/>
                <w:lang w:val="en-GB"/>
              </w:rPr>
            </w:pPr>
            <w:r w:rsidRPr="00815734">
              <w:rPr>
                <w:rFonts w:ascii="Arial" w:hAnsi="Arial" w:cs="Arial"/>
                <w:sz w:val="22"/>
                <w:szCs w:val="22"/>
                <w:lang w:val="en-GB"/>
              </w:rPr>
              <w:t xml:space="preserve">Please keep in mind that according to </w:t>
            </w:r>
            <w:r w:rsidR="00182589">
              <w:rPr>
                <w:rFonts w:ascii="Arial" w:hAnsi="Arial" w:cs="Arial"/>
                <w:sz w:val="22"/>
                <w:szCs w:val="22"/>
                <w:lang w:val="en-GB"/>
              </w:rPr>
              <w:t>C</w:t>
            </w:r>
            <w:r w:rsidR="00182589" w:rsidRPr="00815734">
              <w:rPr>
                <w:rFonts w:ascii="Arial" w:hAnsi="Arial" w:cs="Arial"/>
                <w:sz w:val="22"/>
                <w:szCs w:val="22"/>
                <w:lang w:val="en-GB"/>
              </w:rPr>
              <w:t xml:space="preserve">hapter </w:t>
            </w:r>
            <w:r w:rsidRPr="00815734">
              <w:rPr>
                <w:rFonts w:ascii="Arial" w:hAnsi="Arial" w:cs="Arial"/>
                <w:sz w:val="22"/>
                <w:szCs w:val="22"/>
                <w:lang w:val="en-GB"/>
              </w:rPr>
              <w:t xml:space="preserve">6.5 of the Programme Manual, while filling in the project budget being an annex to the application form, you are requested to fill in only the sheets “1.1 Budget” and “1.2 Budget justification”. Additionally, in case of choosing the administrative costs, you should provide a “Methodology of administrative costs calculation”. </w:t>
            </w:r>
          </w:p>
          <w:p w:rsidR="00A508E4" w:rsidRPr="00815734" w:rsidRDefault="00A508E4" w:rsidP="00A508E4">
            <w:pPr>
              <w:pStyle w:val="Zwykytekst"/>
              <w:jc w:val="both"/>
              <w:rPr>
                <w:rFonts w:ascii="Arial" w:hAnsi="Arial" w:cs="Arial"/>
                <w:sz w:val="22"/>
                <w:szCs w:val="22"/>
                <w:lang w:val="en-GB"/>
              </w:rPr>
            </w:pPr>
            <w:r w:rsidRPr="00815734">
              <w:rPr>
                <w:rFonts w:ascii="Arial" w:hAnsi="Arial" w:cs="Arial"/>
                <w:sz w:val="22"/>
                <w:szCs w:val="22"/>
                <w:lang w:val="en-GB"/>
              </w:rPr>
              <w:t xml:space="preserve">If your question about </w:t>
            </w:r>
            <w:r w:rsidR="006D295E">
              <w:rPr>
                <w:rFonts w:ascii="Arial" w:hAnsi="Arial" w:cs="Arial"/>
                <w:sz w:val="22"/>
                <w:szCs w:val="22"/>
                <w:lang w:val="en-GB"/>
              </w:rPr>
              <w:t>indicating</w:t>
            </w:r>
            <w:r w:rsidR="006D295E" w:rsidRPr="00815734">
              <w:rPr>
                <w:rFonts w:ascii="Arial" w:hAnsi="Arial" w:cs="Arial"/>
                <w:sz w:val="22"/>
                <w:szCs w:val="22"/>
                <w:lang w:val="en-GB"/>
              </w:rPr>
              <w:t xml:space="preserve"> </w:t>
            </w:r>
            <w:r w:rsidRPr="00815734">
              <w:rPr>
                <w:rFonts w:ascii="Arial" w:hAnsi="Arial" w:cs="Arial"/>
                <w:sz w:val="22"/>
                <w:szCs w:val="22"/>
                <w:lang w:val="en-GB"/>
              </w:rPr>
              <w:t xml:space="preserve">revenues or net revenues as a part of receipts was related to the sheet “Receipts”, please be informed that there is no obligation for the projects to fill </w:t>
            </w:r>
            <w:r w:rsidR="00867B23">
              <w:rPr>
                <w:rFonts w:ascii="Arial" w:hAnsi="Arial" w:cs="Arial"/>
                <w:sz w:val="22"/>
                <w:szCs w:val="22"/>
                <w:lang w:val="en-GB"/>
              </w:rPr>
              <w:t xml:space="preserve">in </w:t>
            </w:r>
            <w:r w:rsidRPr="00815734">
              <w:rPr>
                <w:rFonts w:ascii="Arial" w:hAnsi="Arial" w:cs="Arial"/>
                <w:sz w:val="22"/>
                <w:szCs w:val="22"/>
                <w:lang w:val="en-GB"/>
              </w:rPr>
              <w:t xml:space="preserve">the sheet “Receipts”. </w:t>
            </w:r>
          </w:p>
          <w:p w:rsidR="00A508E4" w:rsidRPr="00815734" w:rsidRDefault="00867B23" w:rsidP="00A508E4">
            <w:pPr>
              <w:pStyle w:val="Zwykytekst"/>
              <w:jc w:val="both"/>
              <w:rPr>
                <w:rFonts w:ascii="Arial" w:hAnsi="Arial" w:cs="Arial"/>
                <w:sz w:val="22"/>
                <w:szCs w:val="22"/>
                <w:lang w:val="en-GB"/>
              </w:rPr>
            </w:pPr>
            <w:r>
              <w:rPr>
                <w:rFonts w:ascii="Arial" w:hAnsi="Arial" w:cs="Arial"/>
                <w:sz w:val="22"/>
                <w:szCs w:val="22"/>
                <w:lang w:val="en-GB"/>
              </w:rPr>
              <w:t>A p</w:t>
            </w:r>
            <w:r w:rsidR="00A508E4" w:rsidRPr="00815734">
              <w:rPr>
                <w:rFonts w:ascii="Arial" w:hAnsi="Arial" w:cs="Arial"/>
                <w:sz w:val="22"/>
                <w:szCs w:val="22"/>
                <w:lang w:val="en-GB"/>
              </w:rPr>
              <w:t xml:space="preserve">roject implementation period will be precisely defined in the grant contract. It can start only after the contract is signed by both parties. The exact start date of the project will be fixed in the contract as well. The maximum implementation period for the LIP projects is 36 months. All project’s activities need to be carried out during the implementation period, with the exceptions linked to the preparation of the final progress report including expenditure verification, audit and final evaluation of the project. Please be aware, however, that </w:t>
            </w:r>
            <w:r>
              <w:rPr>
                <w:rFonts w:ascii="Arial" w:hAnsi="Arial" w:cs="Arial"/>
                <w:sz w:val="22"/>
                <w:szCs w:val="22"/>
                <w:lang w:val="en-GB"/>
              </w:rPr>
              <w:t xml:space="preserve">the </w:t>
            </w:r>
            <w:r w:rsidR="00A508E4" w:rsidRPr="00815734">
              <w:rPr>
                <w:rFonts w:ascii="Arial" w:hAnsi="Arial" w:cs="Arial"/>
                <w:sz w:val="22"/>
                <w:szCs w:val="22"/>
                <w:lang w:val="en-GB"/>
              </w:rPr>
              <w:t xml:space="preserve">end of </w:t>
            </w:r>
            <w:r>
              <w:rPr>
                <w:rFonts w:ascii="Arial" w:hAnsi="Arial" w:cs="Arial"/>
                <w:sz w:val="22"/>
                <w:szCs w:val="22"/>
                <w:lang w:val="en-GB"/>
              </w:rPr>
              <w:t xml:space="preserve">a </w:t>
            </w:r>
            <w:r w:rsidR="00A508E4" w:rsidRPr="00815734">
              <w:rPr>
                <w:rFonts w:ascii="Arial" w:hAnsi="Arial" w:cs="Arial"/>
                <w:sz w:val="22"/>
                <w:szCs w:val="22"/>
                <w:lang w:val="en-GB"/>
              </w:rPr>
              <w:t xml:space="preserve">project’s implementation period does not mean the “completion of the project”. The latter is understood as a date when the final payment is made by the Managing Authority. </w:t>
            </w:r>
          </w:p>
          <w:p w:rsidR="00987EBE" w:rsidRPr="00815734" w:rsidRDefault="00987EBE" w:rsidP="00987EBE">
            <w:pPr>
              <w:jc w:val="both"/>
              <w:rPr>
                <w:rFonts w:ascii="Arial" w:hAnsi="Arial" w:cs="Arial"/>
                <w:b/>
                <w:lang w:val="en-US"/>
              </w:rPr>
            </w:pPr>
          </w:p>
        </w:tc>
      </w:tr>
      <w:tr w:rsidR="00335AEE" w:rsidRPr="00392C69" w:rsidTr="00335AEE">
        <w:trPr>
          <w:trHeight w:val="287"/>
        </w:trPr>
        <w:tc>
          <w:tcPr>
            <w:tcW w:w="10144" w:type="dxa"/>
            <w:shd w:val="clear" w:color="auto" w:fill="D9D9D9" w:themeFill="background1" w:themeFillShade="D9"/>
          </w:tcPr>
          <w:p w:rsidR="00335AEE" w:rsidRPr="00815734" w:rsidRDefault="00A508E4" w:rsidP="00987EBE">
            <w:pPr>
              <w:jc w:val="both"/>
              <w:rPr>
                <w:rFonts w:ascii="Arial" w:hAnsi="Arial" w:cs="Arial"/>
                <w:b/>
                <w:lang w:val="en-US"/>
              </w:rPr>
            </w:pPr>
            <w:r w:rsidRPr="00815734">
              <w:rPr>
                <w:rFonts w:ascii="Arial" w:hAnsi="Arial" w:cs="Arial"/>
                <w:b/>
                <w:lang w:val="en-US"/>
              </w:rPr>
              <w:t xml:space="preserve">9. What is an infrastructure component? Should it be understood as one investment regardless of the area it concerns or should it be treated as several investments regarding the same coverage? </w:t>
            </w:r>
          </w:p>
        </w:tc>
      </w:tr>
      <w:tr w:rsidR="00335AEE" w:rsidRPr="00392C69" w:rsidTr="00335AEE">
        <w:trPr>
          <w:trHeight w:val="287"/>
        </w:trPr>
        <w:tc>
          <w:tcPr>
            <w:tcW w:w="10144" w:type="dxa"/>
            <w:shd w:val="clear" w:color="auto" w:fill="auto"/>
          </w:tcPr>
          <w:p w:rsidR="00815734" w:rsidRPr="00815734" w:rsidRDefault="00815734" w:rsidP="00815734">
            <w:pPr>
              <w:jc w:val="both"/>
              <w:rPr>
                <w:rFonts w:ascii="Arial" w:hAnsi="Arial" w:cs="Arial"/>
                <w:color w:val="1F497D"/>
                <w:lang w:val="en-US"/>
              </w:rPr>
            </w:pPr>
            <w:r w:rsidRPr="00815734">
              <w:rPr>
                <w:rFonts w:ascii="Arial" w:hAnsi="Arial" w:cs="Arial"/>
                <w:color w:val="000000"/>
                <w:shd w:val="clear" w:color="auto" w:fill="FFFFFF"/>
                <w:lang w:val="en-GB"/>
              </w:rPr>
              <w:t>According to the definition of the Programme Manual, infrastructure component means: “The total costs of works and services related to (re)construction, renovation, installation of infrastructure and its supervision but also other activities like e.g.: costs of preparation of the technical documentation, costs of supplies including purchase of fixed assets”.</w:t>
            </w:r>
            <w:r w:rsidRPr="00815734">
              <w:rPr>
                <w:rFonts w:ascii="Arial" w:hAnsi="Arial" w:cs="Arial"/>
                <w:lang w:val="en-US"/>
              </w:rPr>
              <w:t xml:space="preserve"> </w:t>
            </w:r>
            <w:r w:rsidRPr="00815734">
              <w:rPr>
                <w:rFonts w:ascii="Arial" w:hAnsi="Arial" w:cs="Arial"/>
                <w:color w:val="000000"/>
                <w:shd w:val="clear" w:color="auto" w:fill="FFFFFF"/>
                <w:lang w:val="en-GB"/>
              </w:rPr>
              <w:t xml:space="preserve">Furthermore, the infrastructure component is understood as </w:t>
            </w:r>
            <w:r w:rsidRPr="001E78C6">
              <w:rPr>
                <w:rFonts w:ascii="Arial" w:hAnsi="Arial" w:cs="Arial"/>
                <w:color w:val="000000" w:themeColor="text1"/>
                <w:shd w:val="clear" w:color="auto" w:fill="FFFFFF"/>
                <w:lang w:val="en-GB"/>
              </w:rPr>
              <w:t>a set of activities in certain subjec</w:t>
            </w:r>
            <w:r w:rsidR="001E78C6" w:rsidRPr="001E78C6">
              <w:rPr>
                <w:rFonts w:ascii="Arial" w:hAnsi="Arial" w:cs="Arial"/>
                <w:color w:val="000000" w:themeColor="text1"/>
                <w:shd w:val="clear" w:color="auto" w:fill="FFFFFF"/>
                <w:lang w:val="en-GB"/>
              </w:rPr>
              <w:t>t,</w:t>
            </w:r>
            <w:r w:rsidR="001E78C6">
              <w:rPr>
                <w:rFonts w:ascii="Arial" w:hAnsi="Arial" w:cs="Arial"/>
                <w:color w:val="FF0000"/>
                <w:shd w:val="clear" w:color="auto" w:fill="FFFFFF"/>
                <w:lang w:val="en-GB"/>
              </w:rPr>
              <w:t xml:space="preserve"> </w:t>
            </w:r>
            <w:r w:rsidRPr="00815734">
              <w:rPr>
                <w:rFonts w:ascii="Arial" w:hAnsi="Arial" w:cs="Arial"/>
                <w:color w:val="000000"/>
                <w:shd w:val="clear" w:color="auto" w:fill="FFFFFF"/>
                <w:lang w:val="en-GB"/>
              </w:rPr>
              <w:t xml:space="preserve">carried out by a given beneficiary. So if </w:t>
            </w:r>
            <w:r w:rsidR="00D90B84">
              <w:rPr>
                <w:rFonts w:ascii="Arial" w:hAnsi="Arial" w:cs="Arial"/>
                <w:color w:val="000000"/>
                <w:shd w:val="clear" w:color="auto" w:fill="FFFFFF"/>
                <w:lang w:val="en-GB"/>
              </w:rPr>
              <w:t xml:space="preserve">a </w:t>
            </w:r>
            <w:r w:rsidR="006D295E">
              <w:rPr>
                <w:rFonts w:ascii="Arial" w:hAnsi="Arial" w:cs="Arial"/>
                <w:color w:val="000000"/>
                <w:shd w:val="clear" w:color="auto" w:fill="FFFFFF"/>
                <w:lang w:val="en-GB"/>
              </w:rPr>
              <w:t>project</w:t>
            </w:r>
            <w:r w:rsidR="006D295E" w:rsidRPr="00815734">
              <w:rPr>
                <w:rFonts w:ascii="Arial" w:hAnsi="Arial" w:cs="Arial"/>
                <w:color w:val="000000"/>
                <w:shd w:val="clear" w:color="auto" w:fill="FFFFFF"/>
                <w:lang w:val="en-GB"/>
              </w:rPr>
              <w:t xml:space="preserve"> </w:t>
            </w:r>
            <w:r w:rsidRPr="00815734">
              <w:rPr>
                <w:rFonts w:ascii="Arial" w:hAnsi="Arial" w:cs="Arial"/>
                <w:color w:val="000000"/>
                <w:shd w:val="clear" w:color="auto" w:fill="FFFFFF"/>
                <w:lang w:val="en-GB"/>
              </w:rPr>
              <w:t xml:space="preserve">plans to do several investments within the same area, but each investment will be implemented, paid and executed on the basis of public contracts carried out by different beneficiaries, these actions should be treated as separate infrastructure components </w:t>
            </w:r>
            <w:r w:rsidRPr="00815734">
              <w:rPr>
                <w:rFonts w:ascii="Arial" w:hAnsi="Arial" w:cs="Arial"/>
                <w:color w:val="000000"/>
                <w:lang w:val="en-US"/>
              </w:rPr>
              <w:t>–</w:t>
            </w:r>
            <w:r w:rsidRPr="00815734">
              <w:rPr>
                <w:rFonts w:ascii="Arial" w:hAnsi="Arial" w:cs="Arial"/>
                <w:color w:val="000000"/>
                <w:shd w:val="clear" w:color="auto" w:fill="FFFFFF"/>
                <w:lang w:val="en-GB"/>
              </w:rPr>
              <w:t xml:space="preserve"> one beneficiary = one infrastructure component.</w:t>
            </w:r>
          </w:p>
          <w:p w:rsidR="00987EBE" w:rsidRPr="00815734" w:rsidRDefault="00987EBE" w:rsidP="00815734">
            <w:pPr>
              <w:jc w:val="both"/>
              <w:rPr>
                <w:rFonts w:ascii="Arial" w:hAnsi="Arial" w:cs="Arial"/>
                <w:b/>
                <w:lang w:val="en-US"/>
              </w:rPr>
            </w:pPr>
          </w:p>
        </w:tc>
      </w:tr>
      <w:tr w:rsidR="00335AEE" w:rsidRPr="00CF4EBA" w:rsidTr="00335AEE">
        <w:trPr>
          <w:trHeight w:val="287"/>
        </w:trPr>
        <w:tc>
          <w:tcPr>
            <w:tcW w:w="10144" w:type="dxa"/>
            <w:shd w:val="clear" w:color="auto" w:fill="D9D9D9" w:themeFill="background1" w:themeFillShade="D9"/>
          </w:tcPr>
          <w:p w:rsidR="00335AEE" w:rsidRPr="00815734" w:rsidRDefault="00CF4EBA" w:rsidP="00D90B84">
            <w:pPr>
              <w:jc w:val="both"/>
              <w:rPr>
                <w:rFonts w:ascii="Arial" w:hAnsi="Arial" w:cs="Arial"/>
                <w:b/>
                <w:color w:val="000000" w:themeColor="text1"/>
                <w:lang w:val="en-US"/>
              </w:rPr>
            </w:pPr>
            <w:r>
              <w:rPr>
                <w:rFonts w:ascii="Arial" w:hAnsi="Arial" w:cs="Arial"/>
                <w:b/>
                <w:color w:val="000000" w:themeColor="text1"/>
                <w:lang w:val="en-US"/>
              </w:rPr>
              <w:t xml:space="preserve">10. </w:t>
            </w:r>
            <w:r w:rsidR="00815734" w:rsidRPr="00815734">
              <w:rPr>
                <w:rFonts w:ascii="Arial" w:hAnsi="Arial" w:cs="Arial"/>
                <w:b/>
                <w:color w:val="000000" w:themeColor="text1"/>
                <w:lang w:val="en-US"/>
              </w:rPr>
              <w:t>If none of the infrastructure components planned to be implemented exceed</w:t>
            </w:r>
            <w:r w:rsidR="00D90B84">
              <w:rPr>
                <w:rFonts w:ascii="Arial" w:hAnsi="Arial" w:cs="Arial"/>
                <w:b/>
                <w:color w:val="000000" w:themeColor="text1"/>
                <w:lang w:val="en-US"/>
              </w:rPr>
              <w:t>s</w:t>
            </w:r>
            <w:r w:rsidR="00815734" w:rsidRPr="00815734">
              <w:rPr>
                <w:rFonts w:ascii="Arial" w:hAnsi="Arial" w:cs="Arial"/>
                <w:b/>
                <w:color w:val="000000" w:themeColor="text1"/>
                <w:lang w:val="en-US"/>
              </w:rPr>
              <w:t xml:space="preserve"> 1 million euro and each of them </w:t>
            </w:r>
            <w:r w:rsidR="00D90B84">
              <w:rPr>
                <w:rFonts w:ascii="Arial" w:hAnsi="Arial" w:cs="Arial"/>
                <w:b/>
                <w:color w:val="000000" w:themeColor="text1"/>
                <w:lang w:val="en-US"/>
              </w:rPr>
              <w:t>is</w:t>
            </w:r>
            <w:r w:rsidR="00815734" w:rsidRPr="00815734">
              <w:rPr>
                <w:rFonts w:ascii="Arial" w:hAnsi="Arial" w:cs="Arial"/>
                <w:b/>
                <w:color w:val="000000" w:themeColor="text1"/>
                <w:lang w:val="en-US"/>
              </w:rPr>
              <w:t xml:space="preserve"> described in point 3.5 of the application form, </w:t>
            </w:r>
            <w:r w:rsidR="00D90B84">
              <w:rPr>
                <w:rFonts w:ascii="Arial" w:hAnsi="Arial" w:cs="Arial"/>
                <w:b/>
                <w:color w:val="000000" w:themeColor="text1"/>
                <w:lang w:val="en-US"/>
              </w:rPr>
              <w:t>will</w:t>
            </w:r>
            <w:r w:rsidR="00815734" w:rsidRPr="00815734">
              <w:rPr>
                <w:rFonts w:ascii="Arial" w:hAnsi="Arial" w:cs="Arial"/>
                <w:b/>
                <w:color w:val="000000" w:themeColor="text1"/>
                <w:lang w:val="en-US"/>
              </w:rPr>
              <w:t xml:space="preserve"> the cost of preparation of the full feasibility study be eligible ? Could it be enclosed to the application form ? </w:t>
            </w:r>
          </w:p>
        </w:tc>
      </w:tr>
      <w:tr w:rsidR="00335AEE" w:rsidRPr="00392C69" w:rsidTr="00335AEE">
        <w:trPr>
          <w:trHeight w:val="287"/>
        </w:trPr>
        <w:tc>
          <w:tcPr>
            <w:tcW w:w="10144" w:type="dxa"/>
            <w:shd w:val="clear" w:color="auto" w:fill="auto"/>
          </w:tcPr>
          <w:p w:rsidR="00815734" w:rsidRPr="00815734" w:rsidRDefault="00815734" w:rsidP="00815734">
            <w:pPr>
              <w:jc w:val="both"/>
              <w:rPr>
                <w:rFonts w:ascii="Arial" w:hAnsi="Arial" w:cs="Arial"/>
                <w:color w:val="000000" w:themeColor="text1"/>
                <w:lang w:val="en-US"/>
              </w:rPr>
            </w:pPr>
            <w:r w:rsidRPr="00815734">
              <w:rPr>
                <w:rFonts w:ascii="Arial" w:hAnsi="Arial" w:cs="Arial"/>
                <w:color w:val="000000" w:themeColor="text1"/>
                <w:lang w:val="en-US"/>
              </w:rPr>
              <w:t>If none of the infrastructure components in the project exceed</w:t>
            </w:r>
            <w:r w:rsidR="00D90B84">
              <w:rPr>
                <w:rFonts w:ascii="Arial" w:hAnsi="Arial" w:cs="Arial"/>
                <w:color w:val="000000" w:themeColor="text1"/>
                <w:lang w:val="en-US"/>
              </w:rPr>
              <w:t>s</w:t>
            </w:r>
            <w:r w:rsidRPr="00815734">
              <w:rPr>
                <w:rFonts w:ascii="Arial" w:hAnsi="Arial" w:cs="Arial"/>
                <w:color w:val="000000" w:themeColor="text1"/>
                <w:lang w:val="en-US"/>
              </w:rPr>
              <w:t xml:space="preserve"> 1 million euro (please bear in mind that the infrastructure component is not only construction works but also services related to the restoration, infrastructure installation, renovation,  monitoring services and other activities such as costs of preparation of the technical documentation, delivery costs including purchase of fixed assets etc.), then in accordance with the </w:t>
            </w:r>
            <w:proofErr w:type="spellStart"/>
            <w:r w:rsidRPr="00815734">
              <w:rPr>
                <w:rFonts w:ascii="Arial" w:hAnsi="Arial" w:cs="Arial"/>
                <w:color w:val="000000" w:themeColor="text1"/>
                <w:lang w:val="en-US"/>
              </w:rPr>
              <w:t>Programme</w:t>
            </w:r>
            <w:proofErr w:type="spellEnd"/>
            <w:r w:rsidRPr="00815734">
              <w:rPr>
                <w:rFonts w:ascii="Arial" w:hAnsi="Arial" w:cs="Arial"/>
                <w:color w:val="000000" w:themeColor="text1"/>
                <w:lang w:val="en-US"/>
              </w:rPr>
              <w:t xml:space="preserve"> rules there is no obligation to prepare </w:t>
            </w:r>
            <w:r w:rsidR="00D90B84">
              <w:rPr>
                <w:rFonts w:ascii="Arial" w:hAnsi="Arial" w:cs="Arial"/>
                <w:color w:val="000000" w:themeColor="text1"/>
                <w:lang w:val="en-US"/>
              </w:rPr>
              <w:t>a</w:t>
            </w:r>
            <w:r w:rsidRPr="00815734">
              <w:rPr>
                <w:rFonts w:ascii="Arial" w:hAnsi="Arial" w:cs="Arial"/>
                <w:color w:val="000000" w:themeColor="text1"/>
                <w:lang w:val="en-US"/>
              </w:rPr>
              <w:t xml:space="preserve"> full feasibility </w:t>
            </w:r>
            <w:r w:rsidRPr="00815734">
              <w:rPr>
                <w:rFonts w:ascii="Arial" w:hAnsi="Arial" w:cs="Arial"/>
                <w:color w:val="000000" w:themeColor="text1"/>
                <w:lang w:val="en-US"/>
              </w:rPr>
              <w:lastRenderedPageBreak/>
              <w:t>study for any of the components and the beneficiaries are only obliged to complete point 3.5 of the application form.</w:t>
            </w:r>
          </w:p>
          <w:p w:rsidR="00815734" w:rsidRPr="00815734" w:rsidRDefault="00815734" w:rsidP="00815734">
            <w:pPr>
              <w:jc w:val="both"/>
              <w:rPr>
                <w:rFonts w:ascii="Arial" w:hAnsi="Arial" w:cs="Arial"/>
                <w:color w:val="000000" w:themeColor="text1"/>
                <w:lang w:val="en-US"/>
              </w:rPr>
            </w:pPr>
            <w:r w:rsidRPr="00815734">
              <w:rPr>
                <w:rFonts w:ascii="Arial" w:hAnsi="Arial" w:cs="Arial"/>
                <w:color w:val="000000" w:themeColor="text1"/>
                <w:lang w:val="en-US"/>
              </w:rPr>
              <w:t xml:space="preserve">Due to the lack of obligation to prepare a full feasibility study, there is also no obligation on the </w:t>
            </w:r>
            <w:proofErr w:type="spellStart"/>
            <w:r w:rsidRPr="00815734">
              <w:rPr>
                <w:rFonts w:ascii="Arial" w:hAnsi="Arial" w:cs="Arial"/>
                <w:color w:val="000000" w:themeColor="text1"/>
                <w:lang w:val="en-US"/>
              </w:rPr>
              <w:t>Programme</w:t>
            </w:r>
            <w:proofErr w:type="spellEnd"/>
            <w:r w:rsidRPr="00815734">
              <w:rPr>
                <w:rFonts w:ascii="Arial" w:hAnsi="Arial" w:cs="Arial"/>
                <w:color w:val="000000" w:themeColor="text1"/>
                <w:lang w:val="en-US"/>
              </w:rPr>
              <w:t xml:space="preserve"> side to reimburse expenditures related to the preparation of the document that the </w:t>
            </w:r>
            <w:proofErr w:type="spellStart"/>
            <w:r w:rsidRPr="00815734">
              <w:rPr>
                <w:rFonts w:ascii="Arial" w:hAnsi="Arial" w:cs="Arial"/>
                <w:color w:val="000000" w:themeColor="text1"/>
                <w:lang w:val="en-US"/>
              </w:rPr>
              <w:t>Programme</w:t>
            </w:r>
            <w:proofErr w:type="spellEnd"/>
            <w:r w:rsidRPr="00815734">
              <w:rPr>
                <w:rFonts w:ascii="Arial" w:hAnsi="Arial" w:cs="Arial"/>
                <w:color w:val="000000" w:themeColor="text1"/>
                <w:lang w:val="en-US"/>
              </w:rPr>
              <w:t xml:space="preserve"> does not require. In this case, the cost of preparation of the full feasibility study will not be an eligible cost.</w:t>
            </w:r>
          </w:p>
          <w:p w:rsidR="00987EBE" w:rsidRPr="00815734" w:rsidRDefault="00987EBE" w:rsidP="00815734">
            <w:pPr>
              <w:jc w:val="both"/>
              <w:rPr>
                <w:rFonts w:ascii="Arial" w:hAnsi="Arial" w:cs="Arial"/>
                <w:b/>
                <w:lang w:val="en-US"/>
              </w:rPr>
            </w:pPr>
          </w:p>
        </w:tc>
      </w:tr>
    </w:tbl>
    <w:p w:rsidR="000164E8" w:rsidRPr="00815734" w:rsidRDefault="000164E8">
      <w:pPr>
        <w:rPr>
          <w:rFonts w:ascii="Arial" w:hAnsi="Arial" w:cs="Arial"/>
          <w:b/>
          <w:lang w:val="en-GB"/>
        </w:rPr>
      </w:pPr>
    </w:p>
    <w:sectPr w:rsidR="000164E8" w:rsidRPr="00815734" w:rsidSect="00A404A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EC2" w:rsidRDefault="00132EC2" w:rsidP="000164E8">
      <w:pPr>
        <w:spacing w:after="0" w:line="240" w:lineRule="auto"/>
      </w:pPr>
      <w:r>
        <w:separator/>
      </w:r>
    </w:p>
  </w:endnote>
  <w:endnote w:type="continuationSeparator" w:id="0">
    <w:p w:rsidR="00132EC2" w:rsidRDefault="00132EC2" w:rsidP="000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695860"/>
      <w:docPartObj>
        <w:docPartGallery w:val="Page Numbers (Bottom of Page)"/>
        <w:docPartUnique/>
      </w:docPartObj>
    </w:sdtPr>
    <w:sdtContent>
      <w:p w:rsidR="00A508E4" w:rsidRDefault="00DE53C0">
        <w:pPr>
          <w:pStyle w:val="Stopka"/>
          <w:jc w:val="right"/>
        </w:pPr>
        <w:fldSimple w:instr=" PAGE   \* MERGEFORMAT ">
          <w:r w:rsidR="00392C69">
            <w:rPr>
              <w:noProof/>
            </w:rPr>
            <w:t>1</w:t>
          </w:r>
        </w:fldSimple>
      </w:p>
    </w:sdtContent>
  </w:sdt>
  <w:p w:rsidR="00A508E4" w:rsidRDefault="00A508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EC2" w:rsidRDefault="00132EC2" w:rsidP="000164E8">
      <w:pPr>
        <w:spacing w:after="0" w:line="240" w:lineRule="auto"/>
      </w:pPr>
      <w:r>
        <w:separator/>
      </w:r>
    </w:p>
  </w:footnote>
  <w:footnote w:type="continuationSeparator" w:id="0">
    <w:p w:rsidR="00132EC2" w:rsidRDefault="00132EC2" w:rsidP="000164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8E4" w:rsidRDefault="00A508E4" w:rsidP="00A404A7">
    <w:pPr>
      <w:rPr>
        <w:b/>
        <w:color w:val="548DD4" w:themeColor="text2" w:themeTint="99"/>
        <w:sz w:val="28"/>
        <w:szCs w:val="28"/>
      </w:rPr>
    </w:pPr>
    <w:r w:rsidRPr="000164E8">
      <w:rPr>
        <w:noProof/>
        <w:lang w:eastAsia="pl-PL"/>
      </w:rPr>
      <w:drawing>
        <wp:inline distT="0" distB="0" distL="0" distR="0">
          <wp:extent cx="2714625" cy="689283"/>
          <wp:effectExtent l="19050" t="0" r="9525" b="0"/>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4625" cy="689283"/>
                  </a:xfrm>
                  <a:prstGeom prst="rect">
                    <a:avLst/>
                  </a:prstGeom>
                  <a:noFill/>
                  <a:ln>
                    <a:noFill/>
                  </a:ln>
                </pic:spPr>
              </pic:pic>
            </a:graphicData>
          </a:graphic>
        </wp:inline>
      </w:drawing>
    </w:r>
    <w:r>
      <w:t xml:space="preserve">     </w:t>
    </w:r>
    <w:r w:rsidRPr="00335AEE">
      <w:rPr>
        <w:b/>
        <w:sz w:val="28"/>
        <w:szCs w:val="28"/>
      </w:rPr>
      <w:t xml:space="preserve">QUESTIONS &amp; ANSWERS </w:t>
    </w:r>
    <w:r>
      <w:rPr>
        <w:b/>
        <w:color w:val="548DD4" w:themeColor="text2" w:themeTint="99"/>
        <w:sz w:val="28"/>
        <w:szCs w:val="28"/>
      </w:rPr>
      <w:t>18</w:t>
    </w:r>
    <w:r w:rsidRPr="00335AEE">
      <w:rPr>
        <w:b/>
        <w:color w:val="548DD4" w:themeColor="text2" w:themeTint="99"/>
        <w:sz w:val="28"/>
        <w:szCs w:val="28"/>
      </w:rPr>
      <w:t xml:space="preserve"> </w:t>
    </w:r>
    <w:r>
      <w:rPr>
        <w:b/>
        <w:color w:val="548DD4" w:themeColor="text2" w:themeTint="99"/>
        <w:sz w:val="28"/>
        <w:szCs w:val="28"/>
      </w:rPr>
      <w:t>August</w:t>
    </w:r>
    <w:r w:rsidRPr="00335AEE">
      <w:rPr>
        <w:b/>
        <w:color w:val="548DD4" w:themeColor="text2" w:themeTint="99"/>
        <w:sz w:val="28"/>
        <w:szCs w:val="28"/>
      </w:rPr>
      <w:t xml:space="preserve"> 2017</w:t>
    </w:r>
  </w:p>
  <w:p w:rsidR="00A508E4" w:rsidRPr="00A404A7" w:rsidRDefault="00A508E4" w:rsidP="00A404A7">
    <w:pP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2EAD"/>
    <w:multiLevelType w:val="hybridMultilevel"/>
    <w:tmpl w:val="E2543070"/>
    <w:lvl w:ilvl="0" w:tplc="0415000F">
      <w:start w:val="1"/>
      <w:numFmt w:val="decimal"/>
      <w:lvlText w:val="%1."/>
      <w:lvlJc w:val="left"/>
      <w:pPr>
        <w:ind w:left="1788" w:hanging="360"/>
      </w:pPr>
      <w:rPr>
        <w:rFonts w:cs="Times New Roman"/>
      </w:rPr>
    </w:lvl>
    <w:lvl w:ilvl="1" w:tplc="04150019">
      <w:start w:val="1"/>
      <w:numFmt w:val="lowerLetter"/>
      <w:lvlText w:val="%2."/>
      <w:lvlJc w:val="left"/>
      <w:pPr>
        <w:ind w:left="2508" w:hanging="360"/>
      </w:pPr>
      <w:rPr>
        <w:rFonts w:cs="Times New Roman"/>
      </w:rPr>
    </w:lvl>
    <w:lvl w:ilvl="2" w:tplc="0415001B" w:tentative="1">
      <w:start w:val="1"/>
      <w:numFmt w:val="lowerRoman"/>
      <w:lvlText w:val="%3."/>
      <w:lvlJc w:val="right"/>
      <w:pPr>
        <w:ind w:left="3228" w:hanging="180"/>
      </w:pPr>
      <w:rPr>
        <w:rFonts w:cs="Times New Roman"/>
      </w:rPr>
    </w:lvl>
    <w:lvl w:ilvl="3" w:tplc="0415000F" w:tentative="1">
      <w:start w:val="1"/>
      <w:numFmt w:val="decimal"/>
      <w:lvlText w:val="%4."/>
      <w:lvlJc w:val="left"/>
      <w:pPr>
        <w:ind w:left="3948" w:hanging="360"/>
      </w:pPr>
      <w:rPr>
        <w:rFonts w:cs="Times New Roman"/>
      </w:rPr>
    </w:lvl>
    <w:lvl w:ilvl="4" w:tplc="04150019" w:tentative="1">
      <w:start w:val="1"/>
      <w:numFmt w:val="lowerLetter"/>
      <w:lvlText w:val="%5."/>
      <w:lvlJc w:val="left"/>
      <w:pPr>
        <w:ind w:left="4668" w:hanging="360"/>
      </w:pPr>
      <w:rPr>
        <w:rFonts w:cs="Times New Roman"/>
      </w:rPr>
    </w:lvl>
    <w:lvl w:ilvl="5" w:tplc="0415001B" w:tentative="1">
      <w:start w:val="1"/>
      <w:numFmt w:val="lowerRoman"/>
      <w:lvlText w:val="%6."/>
      <w:lvlJc w:val="right"/>
      <w:pPr>
        <w:ind w:left="5388" w:hanging="180"/>
      </w:pPr>
      <w:rPr>
        <w:rFonts w:cs="Times New Roman"/>
      </w:rPr>
    </w:lvl>
    <w:lvl w:ilvl="6" w:tplc="0415000F" w:tentative="1">
      <w:start w:val="1"/>
      <w:numFmt w:val="decimal"/>
      <w:lvlText w:val="%7."/>
      <w:lvlJc w:val="left"/>
      <w:pPr>
        <w:ind w:left="6108" w:hanging="360"/>
      </w:pPr>
      <w:rPr>
        <w:rFonts w:cs="Times New Roman"/>
      </w:rPr>
    </w:lvl>
    <w:lvl w:ilvl="7" w:tplc="04150019" w:tentative="1">
      <w:start w:val="1"/>
      <w:numFmt w:val="lowerLetter"/>
      <w:lvlText w:val="%8."/>
      <w:lvlJc w:val="left"/>
      <w:pPr>
        <w:ind w:left="6828" w:hanging="360"/>
      </w:pPr>
      <w:rPr>
        <w:rFonts w:cs="Times New Roman"/>
      </w:rPr>
    </w:lvl>
    <w:lvl w:ilvl="8" w:tplc="0415001B" w:tentative="1">
      <w:start w:val="1"/>
      <w:numFmt w:val="lowerRoman"/>
      <w:lvlText w:val="%9."/>
      <w:lvlJc w:val="right"/>
      <w:pPr>
        <w:ind w:left="7548" w:hanging="180"/>
      </w:pPr>
      <w:rPr>
        <w:rFonts w:cs="Times New Roman"/>
      </w:rPr>
    </w:lvl>
  </w:abstractNum>
  <w:abstractNum w:abstractNumId="1">
    <w:nsid w:val="17111572"/>
    <w:multiLevelType w:val="hybridMultilevel"/>
    <w:tmpl w:val="6E6A39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731B3E"/>
    <w:multiLevelType w:val="hybridMultilevel"/>
    <w:tmpl w:val="7804A9E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A17B73"/>
    <w:multiLevelType w:val="hybridMultilevel"/>
    <w:tmpl w:val="CD6C3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6C5CC7"/>
    <w:multiLevelType w:val="hybridMultilevel"/>
    <w:tmpl w:val="4D8C6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FE2E3A"/>
    <w:multiLevelType w:val="hybridMultilevel"/>
    <w:tmpl w:val="91E8F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05271B"/>
    <w:multiLevelType w:val="hybridMultilevel"/>
    <w:tmpl w:val="D1A40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F14001"/>
    <w:multiLevelType w:val="hybridMultilevel"/>
    <w:tmpl w:val="A746B29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4C6E47"/>
    <w:multiLevelType w:val="hybridMultilevel"/>
    <w:tmpl w:val="5D0618B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672DA3"/>
    <w:multiLevelType w:val="hybridMultilevel"/>
    <w:tmpl w:val="D6DAF2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4F803E8"/>
    <w:multiLevelType w:val="hybridMultilevel"/>
    <w:tmpl w:val="C0309082"/>
    <w:lvl w:ilvl="0" w:tplc="28C21D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166620"/>
    <w:multiLevelType w:val="hybridMultilevel"/>
    <w:tmpl w:val="6846A362"/>
    <w:lvl w:ilvl="0" w:tplc="04150017">
      <w:start w:val="1"/>
      <w:numFmt w:val="lowerLetter"/>
      <w:lvlText w:val="%1)"/>
      <w:lvlJc w:val="left"/>
      <w:pPr>
        <w:ind w:left="810" w:hanging="360"/>
      </w:p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12">
    <w:nsid w:val="591B2E3A"/>
    <w:multiLevelType w:val="hybridMultilevel"/>
    <w:tmpl w:val="BEF2F0C6"/>
    <w:lvl w:ilvl="0" w:tplc="05166D4E">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F1B678E"/>
    <w:multiLevelType w:val="hybridMultilevel"/>
    <w:tmpl w:val="82EE425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C2232"/>
    <w:multiLevelType w:val="hybridMultilevel"/>
    <w:tmpl w:val="CBF4D0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1970CE8"/>
    <w:multiLevelType w:val="hybridMultilevel"/>
    <w:tmpl w:val="F55ED874"/>
    <w:lvl w:ilvl="0" w:tplc="82E2AB3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F3118B"/>
    <w:multiLevelType w:val="hybridMultilevel"/>
    <w:tmpl w:val="62D4F30E"/>
    <w:lvl w:ilvl="0" w:tplc="BC9AF80A">
      <w:start w:val="7"/>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AE443C8"/>
    <w:multiLevelType w:val="hybridMultilevel"/>
    <w:tmpl w:val="4672E8F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0"/>
  </w:num>
  <w:num w:numId="4">
    <w:abstractNumId w:val="15"/>
  </w:num>
  <w:num w:numId="5">
    <w:abstractNumId w:val="5"/>
  </w:num>
  <w:num w:numId="6">
    <w:abstractNumId w:val="6"/>
  </w:num>
  <w:num w:numId="7">
    <w:abstractNumId w:val="16"/>
  </w:num>
  <w:num w:numId="8">
    <w:abstractNumId w:val="17"/>
  </w:num>
  <w:num w:numId="9">
    <w:abstractNumId w:val="9"/>
  </w:num>
  <w:num w:numId="10">
    <w:abstractNumId w:val="12"/>
  </w:num>
  <w:num w:numId="11">
    <w:abstractNumId w:val="3"/>
  </w:num>
  <w:num w:numId="12">
    <w:abstractNumId w:val="13"/>
  </w:num>
  <w:num w:numId="13">
    <w:abstractNumId w:val="7"/>
  </w:num>
  <w:num w:numId="14">
    <w:abstractNumId w:val="1"/>
  </w:num>
  <w:num w:numId="15">
    <w:abstractNumId w:val="2"/>
  </w:num>
  <w:num w:numId="16">
    <w:abstractNumId w:val="8"/>
  </w:num>
  <w:num w:numId="17">
    <w:abstractNumId w:val="1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0164E8"/>
    <w:rsid w:val="000164E8"/>
    <w:rsid w:val="00132EC2"/>
    <w:rsid w:val="00182589"/>
    <w:rsid w:val="001B4409"/>
    <w:rsid w:val="001E78C6"/>
    <w:rsid w:val="002073F3"/>
    <w:rsid w:val="002A3751"/>
    <w:rsid w:val="002F1BCF"/>
    <w:rsid w:val="00335AEE"/>
    <w:rsid w:val="00353AB5"/>
    <w:rsid w:val="00392C69"/>
    <w:rsid w:val="003C1EF9"/>
    <w:rsid w:val="004960FE"/>
    <w:rsid w:val="004F4164"/>
    <w:rsid w:val="00530277"/>
    <w:rsid w:val="00575553"/>
    <w:rsid w:val="005C5861"/>
    <w:rsid w:val="006D295E"/>
    <w:rsid w:val="006F6FFD"/>
    <w:rsid w:val="00741958"/>
    <w:rsid w:val="0076069B"/>
    <w:rsid w:val="007A511E"/>
    <w:rsid w:val="00812145"/>
    <w:rsid w:val="00815734"/>
    <w:rsid w:val="0084303E"/>
    <w:rsid w:val="00867B23"/>
    <w:rsid w:val="009020CF"/>
    <w:rsid w:val="00943A3B"/>
    <w:rsid w:val="00987EBE"/>
    <w:rsid w:val="009E4024"/>
    <w:rsid w:val="00A404A7"/>
    <w:rsid w:val="00A508E4"/>
    <w:rsid w:val="00A951E7"/>
    <w:rsid w:val="00BA10BA"/>
    <w:rsid w:val="00C36FB1"/>
    <w:rsid w:val="00CF4EBA"/>
    <w:rsid w:val="00D90B84"/>
    <w:rsid w:val="00DA14BA"/>
    <w:rsid w:val="00DB537C"/>
    <w:rsid w:val="00DD7051"/>
    <w:rsid w:val="00DE53C0"/>
    <w:rsid w:val="00DF693D"/>
    <w:rsid w:val="00E74EBE"/>
    <w:rsid w:val="00E76AE3"/>
    <w:rsid w:val="00F549D8"/>
    <w:rsid w:val="00FB2E0E"/>
    <w:rsid w:val="00FC59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44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164E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64E8"/>
  </w:style>
  <w:style w:type="paragraph" w:styleId="Stopka">
    <w:name w:val="footer"/>
    <w:basedOn w:val="Normalny"/>
    <w:link w:val="StopkaZnak"/>
    <w:uiPriority w:val="99"/>
    <w:unhideWhenUsed/>
    <w:rsid w:val="000164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4E8"/>
  </w:style>
  <w:style w:type="paragraph" w:styleId="Tekstdymka">
    <w:name w:val="Balloon Text"/>
    <w:basedOn w:val="Normalny"/>
    <w:link w:val="TekstdymkaZnak"/>
    <w:uiPriority w:val="99"/>
    <w:semiHidden/>
    <w:unhideWhenUsed/>
    <w:rsid w:val="000164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64E8"/>
    <w:rPr>
      <w:rFonts w:ascii="Tahoma" w:hAnsi="Tahoma" w:cs="Tahoma"/>
      <w:sz w:val="16"/>
      <w:szCs w:val="16"/>
    </w:rPr>
  </w:style>
  <w:style w:type="table" w:styleId="Tabela-Siatka">
    <w:name w:val="Table Grid"/>
    <w:basedOn w:val="Standardowy"/>
    <w:uiPriority w:val="59"/>
    <w:rsid w:val="00016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164E8"/>
    <w:pPr>
      <w:ind w:left="720"/>
      <w:contextualSpacing/>
    </w:pPr>
  </w:style>
  <w:style w:type="paragraph" w:styleId="Tekstpodstawowy">
    <w:name w:val="Body Text"/>
    <w:aliases w:val="Standard paragraph,wypunktowanie"/>
    <w:basedOn w:val="Normalny"/>
    <w:link w:val="TekstpodstawowyZnak"/>
    <w:rsid w:val="000164E8"/>
    <w:pPr>
      <w:spacing w:after="0" w:line="240" w:lineRule="auto"/>
      <w:jc w:val="both"/>
    </w:pPr>
    <w:rPr>
      <w:rFonts w:ascii="Times New Roman" w:eastAsia="Times New Roman" w:hAnsi="Times New Roman" w:cs="Times New Roman"/>
      <w:sz w:val="24"/>
      <w:szCs w:val="20"/>
      <w:lang w:val="ru-RU" w:eastAsia="pl-PL"/>
    </w:rPr>
  </w:style>
  <w:style w:type="character" w:customStyle="1" w:styleId="TekstpodstawowyZnak">
    <w:name w:val="Tekst podstawowy Znak"/>
    <w:aliases w:val="Standard paragraph Znak,wypunktowanie Znak"/>
    <w:basedOn w:val="Domylnaczcionkaakapitu"/>
    <w:link w:val="Tekstpodstawowy"/>
    <w:rsid w:val="000164E8"/>
    <w:rPr>
      <w:rFonts w:ascii="Times New Roman" w:eastAsia="Times New Roman" w:hAnsi="Times New Roman" w:cs="Times New Roman"/>
      <w:sz w:val="24"/>
      <w:szCs w:val="20"/>
      <w:lang w:val="ru-RU" w:eastAsia="pl-PL"/>
    </w:rPr>
  </w:style>
  <w:style w:type="paragraph" w:customStyle="1" w:styleId="Akapitzlist1">
    <w:name w:val="Akapit z listą1"/>
    <w:basedOn w:val="Normalny"/>
    <w:rsid w:val="00335AEE"/>
    <w:pPr>
      <w:ind w:left="720"/>
      <w:contextualSpacing/>
    </w:pPr>
    <w:rPr>
      <w:rFonts w:ascii="Calibri" w:eastAsia="Times New Roman" w:hAnsi="Calibri" w:cs="Times New Roman"/>
      <w:lang w:val="ru-RU" w:eastAsia="ru-RU"/>
    </w:rPr>
  </w:style>
  <w:style w:type="paragraph" w:styleId="Zwykytekst">
    <w:name w:val="Plain Text"/>
    <w:basedOn w:val="Normalny"/>
    <w:link w:val="ZwykytekstZnak"/>
    <w:uiPriority w:val="99"/>
    <w:unhideWhenUsed/>
    <w:rsid w:val="00A508E4"/>
    <w:pPr>
      <w:spacing w:after="0" w:line="240" w:lineRule="auto"/>
    </w:pPr>
    <w:rPr>
      <w:rFonts w:ascii="Consolas" w:hAnsi="Consolas" w:cs="Consolas"/>
      <w:sz w:val="21"/>
      <w:szCs w:val="21"/>
      <w:lang w:eastAsia="pl-PL"/>
    </w:rPr>
  </w:style>
  <w:style w:type="character" w:customStyle="1" w:styleId="ZwykytekstZnak">
    <w:name w:val="Zwykły tekst Znak"/>
    <w:basedOn w:val="Domylnaczcionkaakapitu"/>
    <w:link w:val="Zwykytekst"/>
    <w:uiPriority w:val="99"/>
    <w:rsid w:val="00A508E4"/>
    <w:rPr>
      <w:rFonts w:ascii="Consolas" w:hAnsi="Consolas" w:cs="Consolas"/>
      <w:sz w:val="21"/>
      <w:szCs w:val="21"/>
      <w:lang w:eastAsia="pl-PL"/>
    </w:rPr>
  </w:style>
  <w:style w:type="character" w:styleId="Odwoaniedokomentarza">
    <w:name w:val="annotation reference"/>
    <w:basedOn w:val="Domylnaczcionkaakapitu"/>
    <w:uiPriority w:val="99"/>
    <w:semiHidden/>
    <w:unhideWhenUsed/>
    <w:rsid w:val="006D295E"/>
    <w:rPr>
      <w:sz w:val="16"/>
      <w:szCs w:val="16"/>
    </w:rPr>
  </w:style>
  <w:style w:type="paragraph" w:styleId="Tekstkomentarza">
    <w:name w:val="annotation text"/>
    <w:basedOn w:val="Normalny"/>
    <w:link w:val="TekstkomentarzaZnak"/>
    <w:uiPriority w:val="99"/>
    <w:semiHidden/>
    <w:unhideWhenUsed/>
    <w:rsid w:val="006D29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295E"/>
    <w:rPr>
      <w:sz w:val="20"/>
      <w:szCs w:val="20"/>
    </w:rPr>
  </w:style>
  <w:style w:type="paragraph" w:styleId="Tematkomentarza">
    <w:name w:val="annotation subject"/>
    <w:basedOn w:val="Tekstkomentarza"/>
    <w:next w:val="Tekstkomentarza"/>
    <w:link w:val="TematkomentarzaZnak"/>
    <w:uiPriority w:val="99"/>
    <w:semiHidden/>
    <w:unhideWhenUsed/>
    <w:rsid w:val="006D295E"/>
    <w:rPr>
      <w:b/>
      <w:bCs/>
    </w:rPr>
  </w:style>
  <w:style w:type="character" w:customStyle="1" w:styleId="TematkomentarzaZnak">
    <w:name w:val="Temat komentarza Znak"/>
    <w:basedOn w:val="TekstkomentarzaZnak"/>
    <w:link w:val="Tematkomentarza"/>
    <w:uiPriority w:val="99"/>
    <w:semiHidden/>
    <w:rsid w:val="006D29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E3D97-A6AD-44D3-927B-2C067D41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1126</Words>
  <Characters>6756</Characters>
  <Application>Microsoft Office Word</Application>
  <DocSecurity>0</DocSecurity>
  <Lines>56</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CPE</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katarzyna_bartnik</dc:creator>
  <cp:lastModifiedBy>Katarzyna Wantoch-Rekowska</cp:lastModifiedBy>
  <cp:revision>12</cp:revision>
  <cp:lastPrinted>2017-07-07T12:35:00Z</cp:lastPrinted>
  <dcterms:created xsi:type="dcterms:W3CDTF">2017-08-21T10:33:00Z</dcterms:created>
  <dcterms:modified xsi:type="dcterms:W3CDTF">2017-11-10T14:40:00Z</dcterms:modified>
</cp:coreProperties>
</file>