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0" w:type="dxa"/>
        <w:tblLook w:val="04A0"/>
      </w:tblPr>
      <w:tblGrid>
        <w:gridCol w:w="9894"/>
      </w:tblGrid>
      <w:tr w:rsidR="007A570F" w:rsidRPr="0072297B" w:rsidTr="00750479">
        <w:trPr>
          <w:trHeight w:val="308"/>
        </w:trPr>
        <w:tc>
          <w:tcPr>
            <w:tcW w:w="9894" w:type="dxa"/>
            <w:shd w:val="clear" w:color="auto" w:fill="D9D9D9" w:themeFill="background1" w:themeFillShade="D9"/>
          </w:tcPr>
          <w:p w:rsidR="007A570F" w:rsidRPr="00CD571E" w:rsidRDefault="00CD571E" w:rsidP="00CD57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1. </w:t>
            </w:r>
            <w:r w:rsidR="006F7CBD" w:rsidRPr="00CD571E">
              <w:rPr>
                <w:rFonts w:ascii="Arial" w:hAnsi="Arial" w:cs="Arial"/>
                <w:b/>
              </w:rPr>
              <w:t>В как</w:t>
            </w:r>
            <w:r w:rsidR="00541C3D" w:rsidRPr="00CD571E">
              <w:rPr>
                <w:rFonts w:ascii="Arial" w:hAnsi="Arial" w:cs="Arial"/>
                <w:b/>
              </w:rPr>
              <w:t xml:space="preserve">ую статью </w:t>
            </w:r>
            <w:r w:rsidR="006F7CBD" w:rsidRPr="00CD571E">
              <w:rPr>
                <w:rFonts w:ascii="Arial" w:hAnsi="Arial" w:cs="Arial"/>
                <w:b/>
              </w:rPr>
              <w:t>бюджет</w:t>
            </w:r>
            <w:r w:rsidR="00D11E3B" w:rsidRPr="00CD571E">
              <w:rPr>
                <w:rFonts w:ascii="Arial" w:hAnsi="Arial" w:cs="Arial"/>
                <w:b/>
              </w:rPr>
              <w:t>а</w:t>
            </w:r>
            <w:r w:rsidR="00800FE7" w:rsidRPr="00CD571E">
              <w:rPr>
                <w:rFonts w:ascii="Arial" w:hAnsi="Arial" w:cs="Arial"/>
                <w:b/>
              </w:rPr>
              <w:t xml:space="preserve"> следует поместить </w:t>
            </w:r>
            <w:r w:rsidR="00590946" w:rsidRPr="00CD571E">
              <w:rPr>
                <w:rFonts w:ascii="Arial" w:hAnsi="Arial" w:cs="Arial"/>
                <w:b/>
              </w:rPr>
              <w:t xml:space="preserve">расходы на проведение </w:t>
            </w:r>
            <w:r w:rsidR="00800FE7" w:rsidRPr="00CD571E">
              <w:rPr>
                <w:rFonts w:ascii="Arial" w:hAnsi="Arial" w:cs="Arial"/>
                <w:b/>
              </w:rPr>
              <w:t>семинар</w:t>
            </w:r>
            <w:r w:rsidR="00590946" w:rsidRPr="00CD571E">
              <w:rPr>
                <w:rFonts w:ascii="Arial" w:hAnsi="Arial" w:cs="Arial"/>
                <w:b/>
              </w:rPr>
              <w:t>ов</w:t>
            </w:r>
            <w:r w:rsidR="00800FE7" w:rsidRPr="00CD571E">
              <w:rPr>
                <w:rFonts w:ascii="Arial" w:hAnsi="Arial" w:cs="Arial"/>
                <w:b/>
              </w:rPr>
              <w:t>? Является</w:t>
            </w:r>
            <w:r w:rsidR="00D11E3B" w:rsidRPr="00CD571E">
              <w:rPr>
                <w:rFonts w:ascii="Arial" w:hAnsi="Arial" w:cs="Arial"/>
                <w:b/>
              </w:rPr>
              <w:t xml:space="preserve"> ли </w:t>
            </w:r>
            <w:r w:rsidR="00541C3D" w:rsidRPr="00CD571E">
              <w:rPr>
                <w:rFonts w:ascii="Arial" w:hAnsi="Arial" w:cs="Arial"/>
                <w:b/>
              </w:rPr>
              <w:t>статья</w:t>
            </w:r>
            <w:r w:rsidR="00D11E3B" w:rsidRPr="00CD571E">
              <w:rPr>
                <w:rFonts w:ascii="Arial" w:hAnsi="Arial" w:cs="Arial"/>
                <w:b/>
              </w:rPr>
              <w:t xml:space="preserve"> </w:t>
            </w:r>
            <w:r w:rsidR="00590946" w:rsidRPr="00CD571E">
              <w:rPr>
                <w:rFonts w:ascii="Arial" w:hAnsi="Arial" w:cs="Arial"/>
                <w:b/>
              </w:rPr>
              <w:t>«Услуги» (</w:t>
            </w:r>
            <w:r w:rsidR="00D11E3B" w:rsidRPr="00CD571E">
              <w:rPr>
                <w:rFonts w:ascii="Arial" w:hAnsi="Arial" w:cs="Arial"/>
                <w:b/>
              </w:rPr>
              <w:t>«Services»</w:t>
            </w:r>
            <w:r w:rsidR="00590946" w:rsidRPr="00CD571E">
              <w:rPr>
                <w:rFonts w:ascii="Arial" w:hAnsi="Arial" w:cs="Arial"/>
                <w:b/>
              </w:rPr>
              <w:t>)</w:t>
            </w:r>
            <w:r w:rsidR="00D11E3B" w:rsidRPr="00CD571E">
              <w:rPr>
                <w:rFonts w:ascii="Arial" w:hAnsi="Arial" w:cs="Arial"/>
                <w:b/>
              </w:rPr>
              <w:t xml:space="preserve"> подходящ</w:t>
            </w:r>
            <w:r w:rsidR="00541C3D" w:rsidRPr="00CD571E">
              <w:rPr>
                <w:rFonts w:ascii="Arial" w:hAnsi="Arial" w:cs="Arial"/>
                <w:b/>
              </w:rPr>
              <w:t>ей</w:t>
            </w:r>
            <w:r w:rsidR="00800FE7" w:rsidRPr="00CD571E">
              <w:rPr>
                <w:rFonts w:ascii="Arial" w:hAnsi="Arial" w:cs="Arial"/>
                <w:b/>
              </w:rPr>
              <w:t>?</w:t>
            </w:r>
          </w:p>
        </w:tc>
      </w:tr>
      <w:tr w:rsidR="007A570F" w:rsidRPr="0072297B" w:rsidTr="00750479">
        <w:trPr>
          <w:trHeight w:val="742"/>
        </w:trPr>
        <w:tc>
          <w:tcPr>
            <w:tcW w:w="9894" w:type="dxa"/>
          </w:tcPr>
          <w:p w:rsidR="007A570F" w:rsidRPr="0072297B" w:rsidRDefault="00800FE7" w:rsidP="00541C3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>Бюджетн</w:t>
            </w:r>
            <w:r w:rsidR="00541C3D">
              <w:rPr>
                <w:rFonts w:ascii="Arial" w:hAnsi="Arial" w:cs="Arial"/>
              </w:rPr>
              <w:t xml:space="preserve">ая статья </w:t>
            </w:r>
            <w:r w:rsidRPr="0072297B">
              <w:rPr>
                <w:rFonts w:ascii="Arial" w:hAnsi="Arial" w:cs="Arial"/>
              </w:rPr>
              <w:t>«</w:t>
            </w:r>
            <w:r w:rsidR="00590946">
              <w:rPr>
                <w:rFonts w:ascii="Arial" w:hAnsi="Arial" w:cs="Arial"/>
              </w:rPr>
              <w:t>Услуги</w:t>
            </w:r>
            <w:r w:rsidRPr="0072297B">
              <w:rPr>
                <w:rFonts w:ascii="Arial" w:hAnsi="Arial" w:cs="Arial"/>
              </w:rPr>
              <w:t xml:space="preserve">» </w:t>
            </w:r>
            <w:r w:rsidR="00D11E3B" w:rsidRPr="0072297B">
              <w:rPr>
                <w:rFonts w:ascii="Arial" w:hAnsi="Arial" w:cs="Arial"/>
              </w:rPr>
              <w:t>соответствует</w:t>
            </w:r>
            <w:r w:rsidRPr="0072297B">
              <w:rPr>
                <w:rFonts w:ascii="Arial" w:hAnsi="Arial" w:cs="Arial"/>
              </w:rPr>
              <w:t xml:space="preserve"> т</w:t>
            </w:r>
            <w:r w:rsidR="00590946">
              <w:rPr>
                <w:rFonts w:ascii="Arial" w:hAnsi="Arial" w:cs="Arial"/>
              </w:rPr>
              <w:t xml:space="preserve">акому </w:t>
            </w:r>
            <w:r w:rsidRPr="0072297B">
              <w:rPr>
                <w:rFonts w:ascii="Arial" w:hAnsi="Arial" w:cs="Arial"/>
              </w:rPr>
              <w:t>вид</w:t>
            </w:r>
            <w:r w:rsidR="00590946">
              <w:rPr>
                <w:rFonts w:ascii="Arial" w:hAnsi="Arial" w:cs="Arial"/>
              </w:rPr>
              <w:t>у</w:t>
            </w:r>
            <w:r w:rsidRPr="0072297B">
              <w:rPr>
                <w:rFonts w:ascii="Arial" w:hAnsi="Arial" w:cs="Arial"/>
              </w:rPr>
              <w:t xml:space="preserve"> р</w:t>
            </w:r>
            <w:r w:rsidR="006F7CBD" w:rsidRPr="0072297B">
              <w:rPr>
                <w:rFonts w:ascii="Arial" w:hAnsi="Arial" w:cs="Arial"/>
              </w:rPr>
              <w:t xml:space="preserve">асходов. В </w:t>
            </w:r>
            <w:r w:rsidR="00D11E3B" w:rsidRPr="0072297B">
              <w:rPr>
                <w:rFonts w:ascii="Arial" w:hAnsi="Arial" w:cs="Arial"/>
              </w:rPr>
              <w:t>данной</w:t>
            </w:r>
            <w:r w:rsidRPr="0072297B">
              <w:rPr>
                <w:rFonts w:ascii="Arial" w:hAnsi="Arial" w:cs="Arial"/>
              </w:rPr>
              <w:t xml:space="preserve"> стать</w:t>
            </w:r>
            <w:r w:rsidR="006F7CBD" w:rsidRPr="0072297B">
              <w:rPr>
                <w:rFonts w:ascii="Arial" w:hAnsi="Arial" w:cs="Arial"/>
              </w:rPr>
              <w:t xml:space="preserve">е </w:t>
            </w:r>
            <w:r w:rsidRPr="0072297B">
              <w:rPr>
                <w:rFonts w:ascii="Arial" w:hAnsi="Arial" w:cs="Arial"/>
              </w:rPr>
              <w:t>имеется бюджетная подстатья 4.8 «Стоимость проведения конференций/семинаров»</w:t>
            </w:r>
            <w:r w:rsidR="00D11E3B" w:rsidRPr="0072297B">
              <w:rPr>
                <w:rFonts w:ascii="Arial" w:hAnsi="Arial" w:cs="Arial"/>
              </w:rPr>
              <w:t>,</w:t>
            </w:r>
            <w:r w:rsidRPr="0072297B">
              <w:rPr>
                <w:rFonts w:ascii="Arial" w:hAnsi="Arial" w:cs="Arial"/>
              </w:rPr>
              <w:t xml:space="preserve"> в </w:t>
            </w:r>
            <w:r w:rsidR="006F7CBD" w:rsidRPr="0072297B">
              <w:rPr>
                <w:rFonts w:ascii="Arial" w:hAnsi="Arial" w:cs="Arial"/>
              </w:rPr>
              <w:t>которую включаются</w:t>
            </w:r>
            <w:r w:rsidRPr="0072297B">
              <w:rPr>
                <w:rFonts w:ascii="Arial" w:hAnsi="Arial" w:cs="Arial"/>
              </w:rPr>
              <w:t xml:space="preserve"> </w:t>
            </w:r>
            <w:r w:rsidR="00590946">
              <w:rPr>
                <w:rFonts w:ascii="Arial" w:hAnsi="Arial" w:cs="Arial"/>
              </w:rPr>
              <w:t xml:space="preserve">расходы на </w:t>
            </w:r>
            <w:r w:rsidRPr="0072297B">
              <w:rPr>
                <w:rFonts w:ascii="Arial" w:hAnsi="Arial" w:cs="Arial"/>
              </w:rPr>
              <w:t xml:space="preserve">услуги по организации и проведению встреч </w:t>
            </w:r>
            <w:r w:rsidR="00D06618">
              <w:rPr>
                <w:rFonts w:ascii="Arial" w:hAnsi="Arial" w:cs="Arial"/>
              </w:rPr>
              <w:t xml:space="preserve">и подобных мероприятий </w:t>
            </w:r>
            <w:r w:rsidRPr="0072297B">
              <w:rPr>
                <w:rFonts w:ascii="Arial" w:hAnsi="Arial" w:cs="Arial"/>
              </w:rPr>
              <w:t xml:space="preserve">(например, аренда помещений, питание, перевод, приглашенные </w:t>
            </w:r>
            <w:r w:rsidR="00D11E3B" w:rsidRPr="0072297B">
              <w:rPr>
                <w:rFonts w:ascii="Arial" w:hAnsi="Arial" w:cs="Arial"/>
              </w:rPr>
              <w:t>выступающие</w:t>
            </w:r>
            <w:r w:rsidRPr="0072297B">
              <w:rPr>
                <w:rFonts w:ascii="Arial" w:hAnsi="Arial" w:cs="Arial"/>
              </w:rPr>
              <w:t xml:space="preserve">), проезд и проживание для участников и </w:t>
            </w:r>
            <w:r w:rsidR="00D11E3B" w:rsidRPr="0072297B">
              <w:rPr>
                <w:rFonts w:ascii="Arial" w:hAnsi="Arial" w:cs="Arial"/>
              </w:rPr>
              <w:t>выступающих</w:t>
            </w:r>
            <w:r w:rsidRPr="0072297B">
              <w:rPr>
                <w:rFonts w:ascii="Arial" w:hAnsi="Arial" w:cs="Arial"/>
              </w:rPr>
              <w:t>.</w:t>
            </w:r>
          </w:p>
        </w:tc>
      </w:tr>
      <w:tr w:rsidR="007A570F" w:rsidRPr="0072297B" w:rsidTr="00750479">
        <w:trPr>
          <w:trHeight w:val="576"/>
        </w:trPr>
        <w:tc>
          <w:tcPr>
            <w:tcW w:w="9894" w:type="dxa"/>
            <w:shd w:val="clear" w:color="auto" w:fill="D9D9D9" w:themeFill="background1" w:themeFillShade="D9"/>
          </w:tcPr>
          <w:p w:rsidR="007A570F" w:rsidRPr="00CD571E" w:rsidRDefault="00CD571E" w:rsidP="00CD571E">
            <w:pPr>
              <w:jc w:val="both"/>
              <w:rPr>
                <w:rFonts w:ascii="Arial" w:hAnsi="Arial" w:cs="Arial"/>
                <w:b/>
              </w:rPr>
            </w:pPr>
            <w:r w:rsidRPr="00CD571E">
              <w:rPr>
                <w:rFonts w:ascii="Arial" w:hAnsi="Arial" w:cs="Arial"/>
                <w:b/>
              </w:rPr>
              <w:t xml:space="preserve">2. </w:t>
            </w:r>
            <w:r w:rsidR="00800FE7" w:rsidRPr="00CD571E">
              <w:rPr>
                <w:rFonts w:ascii="Arial" w:hAnsi="Arial" w:cs="Arial"/>
                <w:b/>
              </w:rPr>
              <w:t xml:space="preserve">Можно ли в рамках проекта подписать договор </w:t>
            </w:r>
            <w:r w:rsidR="00D11E3B" w:rsidRPr="00CD571E">
              <w:rPr>
                <w:rFonts w:ascii="Arial" w:hAnsi="Arial" w:cs="Arial"/>
                <w:b/>
              </w:rPr>
              <w:t>на</w:t>
            </w:r>
            <w:r w:rsidR="00800FE7" w:rsidRPr="00CD571E">
              <w:rPr>
                <w:rFonts w:ascii="Arial" w:hAnsi="Arial" w:cs="Arial"/>
                <w:b/>
              </w:rPr>
              <w:t xml:space="preserve"> управление</w:t>
            </w:r>
            <w:r w:rsidR="006F7CBD" w:rsidRPr="00CD571E">
              <w:rPr>
                <w:rFonts w:ascii="Arial" w:hAnsi="Arial" w:cs="Arial"/>
                <w:b/>
              </w:rPr>
              <w:t xml:space="preserve"> проектом</w:t>
            </w:r>
            <w:r w:rsidR="00800FE7" w:rsidRPr="00CD571E">
              <w:rPr>
                <w:rFonts w:ascii="Arial" w:hAnsi="Arial" w:cs="Arial"/>
                <w:b/>
              </w:rPr>
              <w:t xml:space="preserve"> с внешней компанией? В какой бюджетной стать</w:t>
            </w:r>
            <w:r w:rsidR="006F7CBD" w:rsidRPr="00CD571E">
              <w:rPr>
                <w:rFonts w:ascii="Arial" w:hAnsi="Arial" w:cs="Arial"/>
                <w:b/>
              </w:rPr>
              <w:t>е</w:t>
            </w:r>
            <w:r w:rsidR="00800FE7" w:rsidRPr="00CD571E">
              <w:rPr>
                <w:rFonts w:ascii="Arial" w:hAnsi="Arial" w:cs="Arial"/>
                <w:b/>
              </w:rPr>
              <w:t xml:space="preserve"> надо </w:t>
            </w:r>
            <w:r w:rsidR="006F7CBD" w:rsidRPr="00CD571E">
              <w:rPr>
                <w:rFonts w:ascii="Arial" w:hAnsi="Arial" w:cs="Arial"/>
                <w:b/>
              </w:rPr>
              <w:t>разместить</w:t>
            </w:r>
            <w:r w:rsidR="00800FE7" w:rsidRPr="00CD571E">
              <w:rPr>
                <w:rFonts w:ascii="Arial" w:hAnsi="Arial" w:cs="Arial"/>
                <w:b/>
              </w:rPr>
              <w:t xml:space="preserve"> эти расходы</w:t>
            </w:r>
            <w:r w:rsidR="006F7CBD" w:rsidRPr="00CD571E">
              <w:rPr>
                <w:rFonts w:ascii="Arial" w:hAnsi="Arial" w:cs="Arial"/>
                <w:b/>
              </w:rPr>
              <w:t>,</w:t>
            </w:r>
            <w:r w:rsidR="00800FE7" w:rsidRPr="00CD571E">
              <w:rPr>
                <w:rFonts w:ascii="Arial" w:hAnsi="Arial" w:cs="Arial"/>
                <w:b/>
              </w:rPr>
              <w:t xml:space="preserve"> если </w:t>
            </w:r>
            <w:r w:rsidR="00590946" w:rsidRPr="00CD571E">
              <w:rPr>
                <w:rFonts w:ascii="Arial" w:hAnsi="Arial" w:cs="Arial"/>
                <w:b/>
              </w:rPr>
              <w:t>они считаются приемлемыми</w:t>
            </w:r>
            <w:r w:rsidR="00D11E3B" w:rsidRPr="00CD571E">
              <w:rPr>
                <w:rFonts w:ascii="Arial" w:hAnsi="Arial" w:cs="Arial"/>
                <w:b/>
              </w:rPr>
              <w:t>?</w:t>
            </w:r>
          </w:p>
        </w:tc>
      </w:tr>
      <w:tr w:rsidR="007A570F" w:rsidRPr="0072297B" w:rsidTr="00750479">
        <w:trPr>
          <w:trHeight w:val="1005"/>
        </w:trPr>
        <w:tc>
          <w:tcPr>
            <w:tcW w:w="9894" w:type="dxa"/>
          </w:tcPr>
          <w:p w:rsidR="00800FE7" w:rsidRPr="0072297B" w:rsidRDefault="00800FE7" w:rsidP="007802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 xml:space="preserve">Если договор будет </w:t>
            </w:r>
            <w:r w:rsidR="00D11E3B" w:rsidRPr="0072297B">
              <w:rPr>
                <w:rFonts w:ascii="Arial" w:hAnsi="Arial" w:cs="Arial"/>
              </w:rPr>
              <w:t>включать</w:t>
            </w:r>
            <w:r w:rsidRPr="0072297B">
              <w:rPr>
                <w:rFonts w:ascii="Arial" w:hAnsi="Arial" w:cs="Arial"/>
              </w:rPr>
              <w:t xml:space="preserve"> полное управление проект</w:t>
            </w:r>
            <w:r w:rsidR="00D11E3B" w:rsidRPr="0072297B">
              <w:rPr>
                <w:rFonts w:ascii="Arial" w:hAnsi="Arial" w:cs="Arial"/>
              </w:rPr>
              <w:t>ом</w:t>
            </w:r>
            <w:r w:rsidRPr="0072297B">
              <w:rPr>
                <w:rFonts w:ascii="Arial" w:hAnsi="Arial" w:cs="Arial"/>
              </w:rPr>
              <w:t xml:space="preserve"> внешней компанией,</w:t>
            </w:r>
            <w:r w:rsidR="006F7CBD" w:rsidRPr="0072297B">
              <w:rPr>
                <w:rFonts w:ascii="Arial" w:hAnsi="Arial" w:cs="Arial"/>
              </w:rPr>
              <w:t xml:space="preserve"> то эти</w:t>
            </w:r>
            <w:r w:rsidRPr="0072297B">
              <w:rPr>
                <w:rFonts w:ascii="Arial" w:hAnsi="Arial" w:cs="Arial"/>
              </w:rPr>
              <w:t xml:space="preserve"> рас</w:t>
            </w:r>
            <w:r w:rsidR="006F7CBD" w:rsidRPr="0072297B">
              <w:rPr>
                <w:rFonts w:ascii="Arial" w:hAnsi="Arial" w:cs="Arial"/>
              </w:rPr>
              <w:t xml:space="preserve">ходы </w:t>
            </w:r>
            <w:r w:rsidRPr="0072297B">
              <w:rPr>
                <w:rFonts w:ascii="Arial" w:hAnsi="Arial" w:cs="Arial"/>
              </w:rPr>
              <w:t>не могут считаться приемлемыми</w:t>
            </w:r>
            <w:r w:rsidR="00D11E3B" w:rsidRPr="0072297B">
              <w:rPr>
                <w:rFonts w:ascii="Arial" w:hAnsi="Arial" w:cs="Arial"/>
              </w:rPr>
              <w:t xml:space="preserve">. В </w:t>
            </w:r>
            <w:r w:rsidR="00590946" w:rsidRPr="0072297B">
              <w:rPr>
                <w:rFonts w:ascii="Arial" w:hAnsi="Arial" w:cs="Arial"/>
              </w:rPr>
              <w:t xml:space="preserve">пункте 2.3.4 </w:t>
            </w:r>
            <w:r w:rsidR="00590946">
              <w:rPr>
                <w:rFonts w:ascii="Arial" w:hAnsi="Arial" w:cs="Arial"/>
              </w:rPr>
              <w:t>«</w:t>
            </w:r>
            <w:r w:rsidR="00590946" w:rsidRPr="0072297B">
              <w:rPr>
                <w:rFonts w:ascii="Arial" w:hAnsi="Arial" w:cs="Arial"/>
              </w:rPr>
              <w:t>Неприемлемые проекты</w:t>
            </w:r>
            <w:r w:rsidR="00590946">
              <w:rPr>
                <w:rFonts w:ascii="Arial" w:hAnsi="Arial" w:cs="Arial"/>
              </w:rPr>
              <w:t>» в «</w:t>
            </w:r>
            <w:r w:rsidR="00D11E3B" w:rsidRPr="0072297B">
              <w:rPr>
                <w:rFonts w:ascii="Arial" w:hAnsi="Arial" w:cs="Arial"/>
              </w:rPr>
              <w:t xml:space="preserve">Руководстве по </w:t>
            </w:r>
            <w:r w:rsidR="00541C3D">
              <w:rPr>
                <w:rFonts w:ascii="Arial" w:hAnsi="Arial" w:cs="Arial"/>
              </w:rPr>
              <w:t>П</w:t>
            </w:r>
            <w:r w:rsidR="00D11E3B" w:rsidRPr="0072297B">
              <w:rPr>
                <w:rFonts w:ascii="Arial" w:hAnsi="Arial" w:cs="Arial"/>
              </w:rPr>
              <w:t>рограмме</w:t>
            </w:r>
            <w:r w:rsidR="00590946">
              <w:rPr>
                <w:rFonts w:ascii="Arial" w:hAnsi="Arial" w:cs="Arial"/>
              </w:rPr>
              <w:t>.</w:t>
            </w:r>
            <w:r w:rsidR="00D11E3B" w:rsidRPr="0072297B">
              <w:rPr>
                <w:rFonts w:ascii="Arial" w:hAnsi="Arial" w:cs="Arial"/>
              </w:rPr>
              <w:t xml:space="preserve"> </w:t>
            </w:r>
            <w:r w:rsidRPr="0072297B">
              <w:rPr>
                <w:rFonts w:ascii="Arial" w:hAnsi="Arial" w:cs="Arial"/>
              </w:rPr>
              <w:t>Часть I</w:t>
            </w:r>
            <w:r w:rsidR="00590946">
              <w:rPr>
                <w:rFonts w:ascii="Arial" w:hAnsi="Arial" w:cs="Arial"/>
              </w:rPr>
              <w:t>.</w:t>
            </w:r>
            <w:r w:rsidRPr="0072297B">
              <w:rPr>
                <w:rFonts w:ascii="Arial" w:hAnsi="Arial" w:cs="Arial"/>
              </w:rPr>
              <w:t xml:space="preserve"> </w:t>
            </w:r>
            <w:r w:rsidR="00590946">
              <w:rPr>
                <w:rFonts w:ascii="Arial" w:hAnsi="Arial" w:cs="Arial"/>
              </w:rPr>
              <w:t>Д</w:t>
            </w:r>
            <w:r w:rsidR="00D11E3B" w:rsidRPr="0072297B">
              <w:rPr>
                <w:rFonts w:ascii="Arial" w:hAnsi="Arial" w:cs="Arial"/>
              </w:rPr>
              <w:t>ля з</w:t>
            </w:r>
            <w:r w:rsidRPr="0072297B">
              <w:rPr>
                <w:rFonts w:ascii="Arial" w:hAnsi="Arial" w:cs="Arial"/>
              </w:rPr>
              <w:t>аявител</w:t>
            </w:r>
            <w:r w:rsidR="00D11E3B" w:rsidRPr="0072297B">
              <w:rPr>
                <w:rFonts w:ascii="Arial" w:hAnsi="Arial" w:cs="Arial"/>
              </w:rPr>
              <w:t>ей</w:t>
            </w:r>
            <w:r w:rsidR="00590946">
              <w:rPr>
                <w:rFonts w:ascii="Arial" w:hAnsi="Arial" w:cs="Arial"/>
              </w:rPr>
              <w:t>»</w:t>
            </w:r>
            <w:r w:rsidRPr="0072297B">
              <w:rPr>
                <w:rFonts w:ascii="Arial" w:hAnsi="Arial" w:cs="Arial"/>
              </w:rPr>
              <w:t xml:space="preserve"> указывается</w:t>
            </w:r>
            <w:r w:rsidR="006F7CBD" w:rsidRPr="0072297B">
              <w:rPr>
                <w:rFonts w:ascii="Arial" w:hAnsi="Arial" w:cs="Arial"/>
              </w:rPr>
              <w:t>,</w:t>
            </w:r>
            <w:r w:rsidRPr="0072297B">
              <w:rPr>
                <w:rFonts w:ascii="Arial" w:hAnsi="Arial" w:cs="Arial"/>
              </w:rPr>
              <w:t xml:space="preserve"> что</w:t>
            </w:r>
            <w:r w:rsidR="00D11E3B" w:rsidRPr="0072297B">
              <w:rPr>
                <w:rFonts w:ascii="Arial" w:hAnsi="Arial" w:cs="Arial"/>
              </w:rPr>
              <w:t xml:space="preserve"> </w:t>
            </w:r>
            <w:r w:rsidRPr="0072297B">
              <w:rPr>
                <w:rFonts w:ascii="Arial" w:hAnsi="Arial" w:cs="Arial"/>
              </w:rPr>
              <w:t>неприемлемыми являются</w:t>
            </w:r>
            <w:r w:rsidR="006F7CBD" w:rsidRPr="0072297B">
              <w:rPr>
                <w:rFonts w:ascii="Arial" w:hAnsi="Arial" w:cs="Arial"/>
              </w:rPr>
              <w:t>,</w:t>
            </w:r>
            <w:r w:rsidRPr="0072297B">
              <w:rPr>
                <w:rFonts w:ascii="Arial" w:hAnsi="Arial" w:cs="Arial"/>
              </w:rPr>
              <w:t xml:space="preserve"> между прочим</w:t>
            </w:r>
            <w:r w:rsidR="006F7CBD" w:rsidRPr="0072297B">
              <w:rPr>
                <w:rFonts w:ascii="Arial" w:hAnsi="Arial" w:cs="Arial"/>
              </w:rPr>
              <w:t>,</w:t>
            </w:r>
            <w:r w:rsidRPr="0072297B">
              <w:rPr>
                <w:rFonts w:ascii="Arial" w:hAnsi="Arial" w:cs="Arial"/>
              </w:rPr>
              <w:t xml:space="preserve"> «проекты, в которых бенефициары выступают в роли посредников, т.е. напрямую не несут ответственность за реализацию деятельности, но нанимают третью сторону, которая и отвечает за реализацию проектных мероприятий от их имени». Примеры:</w:t>
            </w:r>
          </w:p>
          <w:p w:rsidR="007A570F" w:rsidRPr="0072297B" w:rsidRDefault="007A570F" w:rsidP="007802F7">
            <w:pPr>
              <w:pStyle w:val="Akapitzlist"/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 xml:space="preserve">• </w:t>
            </w:r>
            <w:r w:rsidR="00800FE7" w:rsidRPr="0072297B">
              <w:rPr>
                <w:rFonts w:ascii="Arial" w:hAnsi="Arial" w:cs="Arial"/>
              </w:rPr>
              <w:t>консалтинговая компания полностью управляет проектом</w:t>
            </w:r>
            <w:r w:rsidRPr="0072297B">
              <w:rPr>
                <w:rFonts w:ascii="Arial" w:hAnsi="Arial" w:cs="Arial"/>
              </w:rPr>
              <w:t>;</w:t>
            </w:r>
          </w:p>
          <w:p w:rsidR="006023FE" w:rsidRPr="0072297B" w:rsidRDefault="007A570F" w:rsidP="00D11E3B">
            <w:pPr>
              <w:pStyle w:val="Akapitzlist"/>
              <w:spacing w:line="276" w:lineRule="auto"/>
              <w:contextualSpacing w:val="0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 xml:space="preserve">• </w:t>
            </w:r>
            <w:r w:rsidR="00800FE7" w:rsidRPr="0072297B">
              <w:rPr>
                <w:rFonts w:ascii="Arial" w:hAnsi="Arial" w:cs="Arial"/>
              </w:rPr>
              <w:t>проект состоит из серии обучающих мероприятий, которые полностью проводятся</w:t>
            </w:r>
            <w:r w:rsidR="006F7CBD" w:rsidRPr="0072297B">
              <w:rPr>
                <w:rFonts w:ascii="Arial" w:hAnsi="Arial" w:cs="Arial"/>
              </w:rPr>
              <w:t xml:space="preserve"> и</w:t>
            </w:r>
            <w:r w:rsidR="00800FE7" w:rsidRPr="0072297B">
              <w:rPr>
                <w:rFonts w:ascii="Arial" w:hAnsi="Arial" w:cs="Arial"/>
              </w:rPr>
              <w:t xml:space="preserve"> реализуются одной компанией по одному тендеру</w:t>
            </w:r>
            <w:r w:rsidRPr="0072297B">
              <w:rPr>
                <w:rFonts w:ascii="Arial" w:hAnsi="Arial" w:cs="Arial"/>
              </w:rPr>
              <w:t>.</w:t>
            </w:r>
          </w:p>
        </w:tc>
      </w:tr>
      <w:tr w:rsidR="007A570F" w:rsidRPr="0072297B" w:rsidTr="00750479">
        <w:trPr>
          <w:trHeight w:val="1178"/>
        </w:trPr>
        <w:tc>
          <w:tcPr>
            <w:tcW w:w="9894" w:type="dxa"/>
            <w:shd w:val="clear" w:color="auto" w:fill="D9D9D9" w:themeFill="background1" w:themeFillShade="D9"/>
          </w:tcPr>
          <w:p w:rsidR="007A570F" w:rsidRPr="0072297B" w:rsidRDefault="00CD571E" w:rsidP="00CD571E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571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>Возможно ли</w:t>
            </w:r>
            <w:r w:rsidR="00D11E3B" w:rsidRPr="0072297B">
              <w:rPr>
                <w:rFonts w:ascii="Arial" w:hAnsi="Arial" w:cs="Arial"/>
                <w:b/>
                <w:sz w:val="22"/>
                <w:szCs w:val="22"/>
              </w:rPr>
              <w:t xml:space="preserve">, чтобы 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>в рамках Программы собственн</w:t>
            </w:r>
            <w:r w:rsidR="00A3091D" w:rsidRPr="0072297B">
              <w:rPr>
                <w:rFonts w:ascii="Arial" w:hAnsi="Arial" w:cs="Arial"/>
                <w:b/>
                <w:sz w:val="22"/>
                <w:szCs w:val="22"/>
              </w:rPr>
              <w:t>ый финансов</w:t>
            </w:r>
            <w:r w:rsidR="00D11E3B" w:rsidRPr="0072297B">
              <w:rPr>
                <w:rFonts w:ascii="Arial" w:hAnsi="Arial" w:cs="Arial"/>
                <w:b/>
                <w:sz w:val="22"/>
                <w:szCs w:val="22"/>
              </w:rPr>
              <w:t>ы</w:t>
            </w:r>
            <w:r w:rsidR="00A3091D" w:rsidRPr="0072297B">
              <w:rPr>
                <w:rFonts w:ascii="Arial" w:hAnsi="Arial" w:cs="Arial"/>
                <w:b/>
                <w:sz w:val="22"/>
                <w:szCs w:val="22"/>
              </w:rPr>
              <w:t>й вклад обеспечивался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 заработной платой работников организации? На</w:t>
            </w:r>
            <w:r w:rsidR="00A3091D" w:rsidRPr="0072297B">
              <w:rPr>
                <w:rFonts w:ascii="Arial" w:hAnsi="Arial" w:cs="Arial"/>
                <w:b/>
                <w:sz w:val="22"/>
                <w:szCs w:val="22"/>
              </w:rPr>
              <w:t>пример, работнику будет поручено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 зан</w:t>
            </w:r>
            <w:r w:rsidR="00A3091D" w:rsidRPr="0072297B">
              <w:rPr>
                <w:rFonts w:ascii="Arial" w:hAnsi="Arial" w:cs="Arial"/>
                <w:b/>
                <w:sz w:val="22"/>
                <w:szCs w:val="22"/>
              </w:rPr>
              <w:t>иматься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 координацией проекта</w:t>
            </w:r>
            <w:r w:rsidR="00CD1004" w:rsidRPr="0072297B">
              <w:rPr>
                <w:rFonts w:ascii="Arial" w:hAnsi="Arial" w:cs="Arial"/>
                <w:b/>
                <w:sz w:val="22"/>
                <w:szCs w:val="22"/>
              </w:rPr>
              <w:t xml:space="preserve"> в рамках трудового договора</w:t>
            </w:r>
            <w:r w:rsidR="00A3091D" w:rsidRPr="0072297B">
              <w:rPr>
                <w:rFonts w:ascii="Arial" w:hAnsi="Arial" w:cs="Arial"/>
                <w:b/>
                <w:sz w:val="22"/>
                <w:szCs w:val="22"/>
              </w:rPr>
              <w:t xml:space="preserve">, и часть его оклада 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>будет выплач</w:t>
            </w:r>
            <w:r w:rsidR="00590946">
              <w:rPr>
                <w:rFonts w:ascii="Arial" w:hAnsi="Arial" w:cs="Arial"/>
                <w:b/>
                <w:sz w:val="22"/>
                <w:szCs w:val="22"/>
              </w:rPr>
              <w:t xml:space="preserve">иваться </w:t>
            </w:r>
            <w:r w:rsidR="00A3091D" w:rsidRPr="0072297B">
              <w:rPr>
                <w:rFonts w:ascii="Arial" w:hAnsi="Arial" w:cs="Arial"/>
                <w:b/>
                <w:sz w:val="22"/>
                <w:szCs w:val="22"/>
              </w:rPr>
              <w:t>из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 средств организации для осуществления проекта. </w:t>
            </w:r>
            <w:r w:rsidR="00A3091D" w:rsidRPr="0072297B">
              <w:rPr>
                <w:rFonts w:ascii="Arial" w:hAnsi="Arial" w:cs="Arial"/>
                <w:b/>
                <w:sz w:val="22"/>
                <w:szCs w:val="22"/>
              </w:rPr>
              <w:t>Б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удет </w:t>
            </w:r>
            <w:r w:rsidR="00A3091D" w:rsidRPr="0072297B">
              <w:rPr>
                <w:rFonts w:ascii="Arial" w:hAnsi="Arial" w:cs="Arial"/>
                <w:b/>
                <w:sz w:val="22"/>
                <w:szCs w:val="22"/>
              </w:rPr>
              <w:t>ли это учиты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>ваться в качестве собственного вклада</w:t>
            </w:r>
            <w:r w:rsidR="00A3091D" w:rsidRPr="0072297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7A570F" w:rsidRPr="0072297B" w:rsidTr="00750479">
        <w:trPr>
          <w:trHeight w:val="801"/>
        </w:trPr>
        <w:tc>
          <w:tcPr>
            <w:tcW w:w="9894" w:type="dxa"/>
          </w:tcPr>
          <w:p w:rsidR="007A570F" w:rsidRPr="0072297B" w:rsidRDefault="00FE412D" w:rsidP="00541C3D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297B">
              <w:rPr>
                <w:rFonts w:ascii="Arial" w:hAnsi="Arial" w:cs="Arial"/>
                <w:sz w:val="22"/>
                <w:szCs w:val="22"/>
              </w:rPr>
              <w:t xml:space="preserve">Согласно пункту 6.3.2 </w:t>
            </w:r>
            <w:r w:rsidR="00590946">
              <w:rPr>
                <w:rFonts w:ascii="Arial" w:hAnsi="Arial" w:cs="Arial"/>
                <w:sz w:val="22"/>
                <w:szCs w:val="22"/>
              </w:rPr>
              <w:t>«</w:t>
            </w:r>
            <w:r w:rsidR="00590946" w:rsidRPr="0072297B">
              <w:rPr>
                <w:rFonts w:ascii="Arial" w:hAnsi="Arial" w:cs="Arial"/>
              </w:rPr>
              <w:t>Руководств</w:t>
            </w:r>
            <w:r w:rsidR="00590946">
              <w:rPr>
                <w:rFonts w:ascii="Arial" w:hAnsi="Arial" w:cs="Arial"/>
              </w:rPr>
              <w:t>а</w:t>
            </w:r>
            <w:r w:rsidR="00590946" w:rsidRPr="0072297B">
              <w:rPr>
                <w:rFonts w:ascii="Arial" w:hAnsi="Arial" w:cs="Arial"/>
              </w:rPr>
              <w:t xml:space="preserve"> по </w:t>
            </w:r>
            <w:r w:rsidR="00541C3D">
              <w:rPr>
                <w:rFonts w:ascii="Arial" w:hAnsi="Arial" w:cs="Arial"/>
              </w:rPr>
              <w:t>П</w:t>
            </w:r>
            <w:r w:rsidR="00590946" w:rsidRPr="0072297B">
              <w:rPr>
                <w:rFonts w:ascii="Arial" w:hAnsi="Arial" w:cs="Arial"/>
              </w:rPr>
              <w:t>рограмме</w:t>
            </w:r>
            <w:r w:rsidR="00590946">
              <w:rPr>
                <w:rFonts w:ascii="Arial" w:hAnsi="Arial" w:cs="Arial"/>
              </w:rPr>
              <w:t>.</w:t>
            </w:r>
            <w:r w:rsidR="00590946" w:rsidRPr="0072297B">
              <w:rPr>
                <w:rFonts w:ascii="Arial" w:hAnsi="Arial" w:cs="Arial"/>
              </w:rPr>
              <w:t xml:space="preserve"> Часть I</w:t>
            </w:r>
            <w:r w:rsidR="00590946">
              <w:rPr>
                <w:rFonts w:ascii="Arial" w:hAnsi="Arial" w:cs="Arial"/>
              </w:rPr>
              <w:t>.</w:t>
            </w:r>
            <w:r w:rsidR="00590946" w:rsidRPr="0072297B">
              <w:rPr>
                <w:rFonts w:ascii="Arial" w:hAnsi="Arial" w:cs="Arial"/>
              </w:rPr>
              <w:t xml:space="preserve"> </w:t>
            </w:r>
            <w:r w:rsidR="00590946">
              <w:rPr>
                <w:rFonts w:ascii="Arial" w:hAnsi="Arial" w:cs="Arial"/>
              </w:rPr>
              <w:t>Д</w:t>
            </w:r>
            <w:r w:rsidR="00590946" w:rsidRPr="0072297B">
              <w:rPr>
                <w:rFonts w:ascii="Arial" w:hAnsi="Arial" w:cs="Arial"/>
              </w:rPr>
              <w:t>ля заявителей</w:t>
            </w:r>
            <w:r w:rsidR="00590946">
              <w:rPr>
                <w:rFonts w:ascii="Arial" w:hAnsi="Arial" w:cs="Arial"/>
              </w:rPr>
              <w:t>»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91D" w:rsidRPr="0072297B">
              <w:rPr>
                <w:rFonts w:ascii="Arial" w:hAnsi="Arial" w:cs="Arial"/>
                <w:sz w:val="22"/>
                <w:szCs w:val="22"/>
              </w:rPr>
              <w:t>зарплаты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 персонала</w:t>
            </w:r>
            <w:r w:rsidR="00A3091D" w:rsidRPr="0072297B">
              <w:rPr>
                <w:rFonts w:ascii="Arial" w:hAnsi="Arial" w:cs="Arial"/>
                <w:sz w:val="22"/>
                <w:szCs w:val="22"/>
              </w:rPr>
              <w:t>,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91D" w:rsidRPr="0072297B">
              <w:rPr>
                <w:rFonts w:ascii="Arial" w:hAnsi="Arial" w:cs="Arial"/>
                <w:sz w:val="22"/>
                <w:szCs w:val="22"/>
              </w:rPr>
              <w:t>задействованного в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 проект</w:t>
            </w:r>
            <w:r w:rsidR="0072297B">
              <w:rPr>
                <w:rFonts w:ascii="Arial" w:hAnsi="Arial" w:cs="Arial"/>
                <w:sz w:val="22"/>
                <w:szCs w:val="22"/>
              </w:rPr>
              <w:t>е, мог</w:t>
            </w:r>
            <w:r w:rsidR="00A3091D" w:rsidRPr="0072297B">
              <w:rPr>
                <w:rFonts w:ascii="Arial" w:hAnsi="Arial" w:cs="Arial"/>
                <w:sz w:val="22"/>
                <w:szCs w:val="22"/>
              </w:rPr>
              <w:t>ут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 составлять часть минимального 10% вклад</w:t>
            </w:r>
            <w:r w:rsidR="00A3091D" w:rsidRPr="0072297B">
              <w:rPr>
                <w:rFonts w:ascii="Arial" w:hAnsi="Arial" w:cs="Arial"/>
                <w:sz w:val="22"/>
                <w:szCs w:val="22"/>
              </w:rPr>
              <w:t>а софинансирования, если будут вы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плачены бенефициаром в ходе осуществления проекта. </w:t>
            </w:r>
            <w:r w:rsidR="00D86805" w:rsidRPr="0072297B">
              <w:rPr>
                <w:rFonts w:ascii="Arial" w:hAnsi="Arial" w:cs="Arial"/>
                <w:sz w:val="22"/>
                <w:szCs w:val="22"/>
              </w:rPr>
              <w:t xml:space="preserve">Однако в </w:t>
            </w:r>
            <w:bookmarkStart w:id="0" w:name="_GoBack"/>
            <w:bookmarkEnd w:id="0"/>
            <w:r w:rsidR="00D86805" w:rsidRPr="0072297B">
              <w:rPr>
                <w:rFonts w:ascii="Arial" w:hAnsi="Arial" w:cs="Arial"/>
                <w:sz w:val="22"/>
                <w:szCs w:val="22"/>
              </w:rPr>
              <w:t xml:space="preserve">бюджете отсутствует </w:t>
            </w:r>
            <w:r w:rsidR="00D11E3B" w:rsidRPr="0072297B">
              <w:rPr>
                <w:rFonts w:ascii="Arial" w:hAnsi="Arial" w:cs="Arial"/>
                <w:sz w:val="22"/>
                <w:szCs w:val="22"/>
              </w:rPr>
              <w:t>необходимость указывать, какие</w:t>
            </w:r>
            <w:r w:rsidR="00D86805" w:rsidRPr="0072297B">
              <w:rPr>
                <w:rFonts w:ascii="Arial" w:hAnsi="Arial" w:cs="Arial"/>
                <w:sz w:val="22"/>
                <w:szCs w:val="22"/>
              </w:rPr>
              <w:t xml:space="preserve"> бюджетные статьи обеспечивают собственной вклад бенефициаров. В отчетах </w:t>
            </w:r>
            <w:r w:rsidR="00D11E3B" w:rsidRPr="0072297B">
              <w:rPr>
                <w:rFonts w:ascii="Arial" w:hAnsi="Arial" w:cs="Arial"/>
                <w:sz w:val="22"/>
                <w:szCs w:val="22"/>
              </w:rPr>
              <w:t>должно быть указано 100% затрат</w:t>
            </w:r>
            <w:r w:rsidR="00D86805" w:rsidRPr="0072297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90946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="00D86805" w:rsidRPr="0072297B">
              <w:rPr>
                <w:rFonts w:ascii="Arial" w:hAnsi="Arial" w:cs="Arial"/>
                <w:sz w:val="22"/>
                <w:szCs w:val="22"/>
              </w:rPr>
              <w:t xml:space="preserve">софинансирование Программы покроет максимально 90% от общей суммы </w:t>
            </w:r>
            <w:r w:rsidR="00541C3D">
              <w:rPr>
                <w:rFonts w:ascii="Arial" w:hAnsi="Arial" w:cs="Arial"/>
                <w:sz w:val="22"/>
                <w:szCs w:val="22"/>
              </w:rPr>
              <w:t xml:space="preserve">приемлемых </w:t>
            </w:r>
            <w:r w:rsidR="00D86805" w:rsidRPr="0072297B">
              <w:rPr>
                <w:rFonts w:ascii="Arial" w:hAnsi="Arial" w:cs="Arial"/>
                <w:sz w:val="22"/>
                <w:szCs w:val="22"/>
              </w:rPr>
              <w:t>расходов.</w:t>
            </w:r>
          </w:p>
        </w:tc>
      </w:tr>
      <w:tr w:rsidR="007A570F" w:rsidRPr="0072297B" w:rsidTr="00750479">
        <w:trPr>
          <w:trHeight w:val="776"/>
        </w:trPr>
        <w:tc>
          <w:tcPr>
            <w:tcW w:w="9894" w:type="dxa"/>
            <w:shd w:val="clear" w:color="auto" w:fill="D9D9D9" w:themeFill="background1" w:themeFillShade="D9"/>
          </w:tcPr>
          <w:p w:rsidR="007A570F" w:rsidRPr="00CD571E" w:rsidRDefault="00CD571E" w:rsidP="00CD571E">
            <w:pPr>
              <w:jc w:val="both"/>
              <w:rPr>
                <w:rFonts w:ascii="Arial" w:hAnsi="Arial" w:cs="Arial"/>
                <w:b/>
              </w:rPr>
            </w:pPr>
            <w:r w:rsidRPr="00CD571E">
              <w:rPr>
                <w:rFonts w:ascii="Arial" w:hAnsi="Arial" w:cs="Arial"/>
                <w:b/>
              </w:rPr>
              <w:t xml:space="preserve">4. </w:t>
            </w:r>
            <w:r w:rsidR="00FE412D" w:rsidRPr="00CD571E">
              <w:rPr>
                <w:rFonts w:ascii="Arial" w:hAnsi="Arial" w:cs="Arial"/>
                <w:b/>
              </w:rPr>
              <w:t xml:space="preserve">На каком языке требуется составить технико-экономическое обоснование? В случае проектов с инфраструктурным компонентом стоимостью ниже </w:t>
            </w:r>
            <w:r w:rsidR="00D11E3B" w:rsidRPr="00CD571E">
              <w:rPr>
                <w:rFonts w:ascii="Arial" w:hAnsi="Arial" w:cs="Arial"/>
                <w:b/>
              </w:rPr>
              <w:t>50 000 евро надо ли заполня</w:t>
            </w:r>
            <w:r w:rsidR="00FE412D" w:rsidRPr="00CD571E">
              <w:rPr>
                <w:rFonts w:ascii="Arial" w:hAnsi="Arial" w:cs="Arial"/>
                <w:b/>
              </w:rPr>
              <w:t>ть пункт 3.5 формы заявки (</w:t>
            </w:r>
            <w:r w:rsidR="00590946" w:rsidRPr="00CD571E">
              <w:rPr>
                <w:rFonts w:ascii="Arial" w:hAnsi="Arial" w:cs="Arial"/>
                <w:b/>
              </w:rPr>
              <w:t>«К</w:t>
            </w:r>
            <w:r w:rsidR="00FE412D" w:rsidRPr="00CD571E">
              <w:rPr>
                <w:rFonts w:ascii="Arial" w:hAnsi="Arial" w:cs="Arial"/>
                <w:b/>
              </w:rPr>
              <w:t>раткое технико-экономическое обоснование</w:t>
            </w:r>
            <w:r w:rsidR="00590946" w:rsidRPr="00CD571E">
              <w:rPr>
                <w:rFonts w:ascii="Arial" w:hAnsi="Arial" w:cs="Arial"/>
                <w:b/>
              </w:rPr>
              <w:t>»</w:t>
            </w:r>
            <w:r w:rsidR="00FE412D" w:rsidRPr="00CD571E">
              <w:rPr>
                <w:rFonts w:ascii="Arial" w:hAnsi="Arial" w:cs="Arial"/>
                <w:b/>
              </w:rPr>
              <w:t>)?</w:t>
            </w:r>
          </w:p>
        </w:tc>
      </w:tr>
      <w:tr w:rsidR="007A570F" w:rsidRPr="0072297B" w:rsidTr="00750479">
        <w:trPr>
          <w:trHeight w:val="426"/>
        </w:trPr>
        <w:tc>
          <w:tcPr>
            <w:tcW w:w="9894" w:type="dxa"/>
          </w:tcPr>
          <w:p w:rsidR="00FE412D" w:rsidRPr="0072297B" w:rsidRDefault="00590946" w:rsidP="00780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FE412D" w:rsidRPr="0072297B">
              <w:rPr>
                <w:rFonts w:ascii="Arial" w:hAnsi="Arial" w:cs="Arial"/>
              </w:rPr>
              <w:t>Краткое технико-экономическое обоснование</w:t>
            </w:r>
            <w:r>
              <w:rPr>
                <w:rFonts w:ascii="Arial" w:hAnsi="Arial" w:cs="Arial"/>
              </w:rPr>
              <w:t>»</w:t>
            </w:r>
            <w:r w:rsidR="001F746B" w:rsidRPr="0072297B">
              <w:rPr>
                <w:rFonts w:ascii="Arial" w:hAnsi="Arial" w:cs="Arial"/>
              </w:rPr>
              <w:t>,</w:t>
            </w:r>
            <w:r w:rsidR="00FE412D" w:rsidRPr="0072297B">
              <w:rPr>
                <w:rFonts w:ascii="Arial" w:hAnsi="Arial" w:cs="Arial"/>
              </w:rPr>
              <w:t xml:space="preserve"> т.е. пункт 3.5 формы заявки, следует заполнить только в случае проектов</w:t>
            </w:r>
            <w:r w:rsidR="001F746B" w:rsidRPr="0072297B">
              <w:rPr>
                <w:rFonts w:ascii="Arial" w:hAnsi="Arial" w:cs="Arial"/>
              </w:rPr>
              <w:t>,</w:t>
            </w:r>
            <w:r w:rsidR="00FE412D" w:rsidRPr="0072297B">
              <w:rPr>
                <w:rFonts w:ascii="Arial" w:hAnsi="Arial" w:cs="Arial"/>
              </w:rPr>
              <w:t xml:space="preserve"> содержащих инфраст</w:t>
            </w:r>
            <w:r w:rsidR="001F746B" w:rsidRPr="0072297B">
              <w:rPr>
                <w:rFonts w:ascii="Arial" w:hAnsi="Arial" w:cs="Arial"/>
              </w:rPr>
              <w:t>руктурный компонент стоимостью от 50 000 евро до</w:t>
            </w:r>
            <w:r w:rsidR="00FE412D" w:rsidRPr="0072297B">
              <w:rPr>
                <w:rFonts w:ascii="Arial" w:hAnsi="Arial" w:cs="Arial"/>
              </w:rPr>
              <w:t xml:space="preserve"> 1 миллион</w:t>
            </w:r>
            <w:r w:rsidR="001F746B" w:rsidRPr="0072297B">
              <w:rPr>
                <w:rFonts w:ascii="Arial" w:hAnsi="Arial" w:cs="Arial"/>
              </w:rPr>
              <w:t>а</w:t>
            </w:r>
            <w:r w:rsidR="00FE412D" w:rsidRPr="0072297B">
              <w:rPr>
                <w:rFonts w:ascii="Arial" w:hAnsi="Arial" w:cs="Arial"/>
              </w:rPr>
              <w:t xml:space="preserve"> евро.</w:t>
            </w:r>
          </w:p>
          <w:p w:rsidR="00FE412D" w:rsidRPr="0072297B" w:rsidRDefault="001F746B" w:rsidP="007802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>Необходимо иметь</w:t>
            </w:r>
            <w:r w:rsidR="00FE412D" w:rsidRPr="0072297B">
              <w:rPr>
                <w:rFonts w:ascii="Arial" w:hAnsi="Arial" w:cs="Arial"/>
              </w:rPr>
              <w:t xml:space="preserve"> в виду</w:t>
            </w:r>
            <w:r w:rsidRPr="0072297B">
              <w:rPr>
                <w:rFonts w:ascii="Arial" w:hAnsi="Arial" w:cs="Arial"/>
              </w:rPr>
              <w:t>,</w:t>
            </w:r>
            <w:r w:rsidR="00FE412D" w:rsidRPr="0072297B">
              <w:rPr>
                <w:rFonts w:ascii="Arial" w:hAnsi="Arial" w:cs="Arial"/>
              </w:rPr>
              <w:t xml:space="preserve"> что ин</w:t>
            </w:r>
            <w:r w:rsidRPr="0072297B">
              <w:rPr>
                <w:rFonts w:ascii="Arial" w:hAnsi="Arial" w:cs="Arial"/>
              </w:rPr>
              <w:t>фраструктурный компонент охватывает</w:t>
            </w:r>
            <w:r w:rsidR="00FE412D" w:rsidRPr="0072297B">
              <w:rPr>
                <w:rFonts w:ascii="Arial" w:hAnsi="Arial" w:cs="Arial"/>
              </w:rPr>
              <w:t xml:space="preserve"> не только стоимость строительных работ, но также услуги</w:t>
            </w:r>
            <w:r w:rsidRPr="0072297B">
              <w:rPr>
                <w:rFonts w:ascii="Arial" w:hAnsi="Arial" w:cs="Arial"/>
              </w:rPr>
              <w:t>,</w:t>
            </w:r>
            <w:r w:rsidR="00FE412D" w:rsidRPr="0072297B">
              <w:rPr>
                <w:rFonts w:ascii="Arial" w:hAnsi="Arial" w:cs="Arial"/>
              </w:rPr>
              <w:t xml:space="preserve"> связанные со строительством (реконструкцией), реставрацией, формированием инфраструктурных объектов и осуществлением надзора над ними</w:t>
            </w:r>
            <w:r w:rsidR="00D11E3B" w:rsidRPr="0072297B">
              <w:rPr>
                <w:rFonts w:ascii="Arial" w:hAnsi="Arial" w:cs="Arial"/>
              </w:rPr>
              <w:t>,</w:t>
            </w:r>
            <w:r w:rsidR="00FE412D" w:rsidRPr="0072297B">
              <w:rPr>
                <w:rFonts w:ascii="Arial" w:hAnsi="Arial" w:cs="Arial"/>
              </w:rPr>
              <w:t xml:space="preserve"> а т</w:t>
            </w:r>
            <w:r w:rsidRPr="0072297B">
              <w:rPr>
                <w:rFonts w:ascii="Arial" w:hAnsi="Arial" w:cs="Arial"/>
              </w:rPr>
              <w:t>акже другие действия, такие как</w:t>
            </w:r>
            <w:r w:rsidR="00FE412D" w:rsidRPr="0072297B">
              <w:rPr>
                <w:rFonts w:ascii="Arial" w:hAnsi="Arial" w:cs="Arial"/>
              </w:rPr>
              <w:t xml:space="preserve"> стоимость разработки технической документации, стоимость поставок, включа</w:t>
            </w:r>
            <w:r w:rsidR="00D11E3B" w:rsidRPr="0072297B">
              <w:rPr>
                <w:rFonts w:ascii="Arial" w:hAnsi="Arial" w:cs="Arial"/>
              </w:rPr>
              <w:t>я покупку материальных активов.</w:t>
            </w:r>
          </w:p>
          <w:p w:rsidR="007A570F" w:rsidRPr="0072297B" w:rsidRDefault="00590946" w:rsidP="00590946">
            <w:pPr>
              <w:spacing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Возможно предусмотреть как </w:t>
            </w:r>
            <w:r w:rsidR="001F746B" w:rsidRPr="0072297B">
              <w:rPr>
                <w:rFonts w:ascii="Arial" w:hAnsi="Arial" w:cs="Arial"/>
              </w:rPr>
              <w:t>создани</w:t>
            </w:r>
            <w:r>
              <w:rPr>
                <w:rFonts w:ascii="Arial" w:hAnsi="Arial" w:cs="Arial"/>
              </w:rPr>
              <w:t>е</w:t>
            </w:r>
            <w:r w:rsidR="001F746B" w:rsidRPr="0072297B">
              <w:rPr>
                <w:rFonts w:ascii="Arial" w:hAnsi="Arial" w:cs="Arial"/>
              </w:rPr>
              <w:t xml:space="preserve"> одного</w:t>
            </w:r>
            <w:r w:rsidR="00FE412D" w:rsidRPr="0072297B">
              <w:rPr>
                <w:rFonts w:ascii="Arial" w:hAnsi="Arial" w:cs="Arial"/>
              </w:rPr>
              <w:t xml:space="preserve"> совместного технико-экономического </w:t>
            </w:r>
            <w:r w:rsidR="00FE412D" w:rsidRPr="0072297B">
              <w:rPr>
                <w:rFonts w:ascii="Arial" w:hAnsi="Arial" w:cs="Arial"/>
              </w:rPr>
              <w:lastRenderedPageBreak/>
              <w:t>обоснования для всех инфраструктурных компонентов стоимостью минимум 1 миллион евро</w:t>
            </w:r>
            <w:r>
              <w:rPr>
                <w:rFonts w:ascii="Arial" w:hAnsi="Arial" w:cs="Arial"/>
              </w:rPr>
              <w:t>, так и отдельных технико-экономических обоснований для каждого из инфраструктурных компонентов стоимостью минимум 1 миллион евро</w:t>
            </w:r>
            <w:r w:rsidR="00FE412D" w:rsidRPr="0072297B">
              <w:rPr>
                <w:rFonts w:ascii="Arial" w:hAnsi="Arial" w:cs="Arial"/>
              </w:rPr>
              <w:t xml:space="preserve">. Если документ готовится на </w:t>
            </w:r>
            <w:r>
              <w:rPr>
                <w:rFonts w:ascii="Arial" w:hAnsi="Arial" w:cs="Arial"/>
              </w:rPr>
              <w:t>национальном</w:t>
            </w:r>
            <w:r w:rsidR="00FE412D" w:rsidRPr="0072297B">
              <w:rPr>
                <w:rFonts w:ascii="Arial" w:hAnsi="Arial" w:cs="Arial"/>
              </w:rPr>
              <w:t xml:space="preserve"> языке (польском или русском), </w:t>
            </w:r>
            <w:r w:rsidR="001F746B" w:rsidRPr="0072297B">
              <w:rPr>
                <w:rFonts w:ascii="Arial" w:hAnsi="Arial" w:cs="Arial"/>
              </w:rPr>
              <w:t>он должен сопровождаться резюме на английском языке</w:t>
            </w:r>
            <w:r w:rsidR="00FE412D" w:rsidRPr="0072297B">
              <w:rPr>
                <w:rFonts w:ascii="Arial" w:hAnsi="Arial" w:cs="Arial"/>
              </w:rPr>
              <w:t>.</w:t>
            </w:r>
          </w:p>
        </w:tc>
      </w:tr>
      <w:tr w:rsidR="007A570F" w:rsidRPr="0072297B" w:rsidTr="00750479">
        <w:trPr>
          <w:trHeight w:val="330"/>
        </w:trPr>
        <w:tc>
          <w:tcPr>
            <w:tcW w:w="9894" w:type="dxa"/>
            <w:shd w:val="clear" w:color="auto" w:fill="D9D9D9" w:themeFill="background1" w:themeFillShade="D9"/>
          </w:tcPr>
          <w:p w:rsidR="007A570F" w:rsidRPr="00CD571E" w:rsidRDefault="00CD571E" w:rsidP="00CD571E">
            <w:pPr>
              <w:spacing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lastRenderedPageBreak/>
              <w:t xml:space="preserve">5. </w:t>
            </w:r>
            <w:r w:rsidR="00FE412D" w:rsidRPr="00CD571E">
              <w:rPr>
                <w:rFonts w:ascii="Arial" w:hAnsi="Arial" w:cs="Arial"/>
                <w:b/>
              </w:rPr>
              <w:t>Какова минимальная стоимость проекта?</w:t>
            </w:r>
          </w:p>
        </w:tc>
      </w:tr>
      <w:tr w:rsidR="007A570F" w:rsidRPr="0072297B" w:rsidTr="00750479">
        <w:trPr>
          <w:trHeight w:val="393"/>
        </w:trPr>
        <w:tc>
          <w:tcPr>
            <w:tcW w:w="9894" w:type="dxa"/>
          </w:tcPr>
          <w:p w:rsidR="007A570F" w:rsidRPr="0072297B" w:rsidRDefault="004E5DF5" w:rsidP="00D06618">
            <w:pPr>
              <w:tabs>
                <w:tab w:val="left" w:pos="5355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 xml:space="preserve">Минимальный проектный грант </w:t>
            </w:r>
            <w:r w:rsidR="00D06618">
              <w:rPr>
                <w:rFonts w:ascii="Arial" w:hAnsi="Arial" w:cs="Arial"/>
              </w:rPr>
              <w:t xml:space="preserve">– </w:t>
            </w:r>
            <w:r w:rsidRPr="0072297B">
              <w:rPr>
                <w:rFonts w:ascii="Arial" w:hAnsi="Arial" w:cs="Arial"/>
              </w:rPr>
              <w:t>1</w:t>
            </w:r>
            <w:r w:rsidR="00FE412D" w:rsidRPr="0072297B">
              <w:rPr>
                <w:rFonts w:ascii="Arial" w:hAnsi="Arial" w:cs="Arial"/>
              </w:rPr>
              <w:t>00 000 евро</w:t>
            </w:r>
            <w:r w:rsidR="00D06618">
              <w:rPr>
                <w:rFonts w:ascii="Arial" w:hAnsi="Arial" w:cs="Arial"/>
              </w:rPr>
              <w:t xml:space="preserve">; минимальное софинансирование проекта со стороны бенефициаров – 10% от </w:t>
            </w:r>
            <w:r w:rsidR="00DE6047">
              <w:rPr>
                <w:rFonts w:ascii="Arial" w:hAnsi="Arial" w:cs="Arial"/>
              </w:rPr>
              <w:t xml:space="preserve">общей </w:t>
            </w:r>
            <w:r w:rsidR="00D06618">
              <w:rPr>
                <w:rFonts w:ascii="Arial" w:hAnsi="Arial" w:cs="Arial"/>
              </w:rPr>
              <w:t>суммы приемлемых расходов</w:t>
            </w:r>
            <w:r w:rsidR="007A570F" w:rsidRPr="0072297B">
              <w:rPr>
                <w:rFonts w:ascii="Arial" w:hAnsi="Arial" w:cs="Arial"/>
              </w:rPr>
              <w:t>.</w:t>
            </w:r>
            <w:r w:rsidR="00D06618">
              <w:rPr>
                <w:rFonts w:ascii="Arial" w:hAnsi="Arial" w:cs="Arial"/>
              </w:rPr>
              <w:t xml:space="preserve"> Таким образом расчет минимальной суммы бюджета проекта должен основываться на этих двух требованиях. </w:t>
            </w:r>
          </w:p>
        </w:tc>
      </w:tr>
      <w:tr w:rsidR="007A570F" w:rsidRPr="0072297B" w:rsidTr="00750479">
        <w:trPr>
          <w:trHeight w:val="422"/>
        </w:trPr>
        <w:tc>
          <w:tcPr>
            <w:tcW w:w="9894" w:type="dxa"/>
            <w:shd w:val="clear" w:color="auto" w:fill="D9D9D9" w:themeFill="background1" w:themeFillShade="D9"/>
          </w:tcPr>
          <w:p w:rsidR="007A570F" w:rsidRPr="0072297B" w:rsidRDefault="00CD571E" w:rsidP="00CD571E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571E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В случае выбора </w:t>
            </w:r>
            <w:r w:rsidR="009D08B3" w:rsidRPr="0072297B">
              <w:rPr>
                <w:rFonts w:ascii="Arial" w:hAnsi="Arial" w:cs="Arial"/>
                <w:b/>
                <w:sz w:val="22"/>
                <w:szCs w:val="22"/>
              </w:rPr>
              <w:t>первого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 варианта получения средств от У</w:t>
            </w:r>
            <w:r w:rsidR="00D006A6">
              <w:rPr>
                <w:rFonts w:ascii="Arial" w:hAnsi="Arial" w:cs="Arial"/>
                <w:b/>
                <w:sz w:val="22"/>
                <w:szCs w:val="22"/>
              </w:rPr>
              <w:t>правляющего органа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 (аванса) возможно ли</w:t>
            </w:r>
            <w:r w:rsidR="009D08B3" w:rsidRPr="0072297B">
              <w:rPr>
                <w:rFonts w:ascii="Arial" w:hAnsi="Arial" w:cs="Arial"/>
                <w:b/>
                <w:sz w:val="22"/>
                <w:szCs w:val="22"/>
              </w:rPr>
              <w:t xml:space="preserve"> разделить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 промежуточны</w:t>
            </w:r>
            <w:r w:rsidR="009D08B3" w:rsidRPr="0072297B">
              <w:rPr>
                <w:rFonts w:ascii="Arial" w:hAnsi="Arial" w:cs="Arial"/>
                <w:b/>
                <w:sz w:val="22"/>
                <w:szCs w:val="22"/>
              </w:rPr>
              <w:t>й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 платеж на несколько платежей? Сколько </w:t>
            </w:r>
            <w:r w:rsidR="009D08B3" w:rsidRPr="0072297B">
              <w:rPr>
                <w:rFonts w:ascii="Arial" w:hAnsi="Arial" w:cs="Arial"/>
                <w:b/>
                <w:sz w:val="22"/>
                <w:szCs w:val="22"/>
              </w:rPr>
              <w:t>заявок на платеж и отчетов должны быть предоставлены в СТС / УО в этом случае?</w:t>
            </w:r>
            <w:r w:rsidR="00FE412D" w:rsidRPr="007229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A570F" w:rsidRPr="0072297B" w:rsidTr="00750479">
        <w:trPr>
          <w:trHeight w:val="272"/>
        </w:trPr>
        <w:tc>
          <w:tcPr>
            <w:tcW w:w="9894" w:type="dxa"/>
          </w:tcPr>
          <w:p w:rsidR="006023FE" w:rsidRPr="0072297B" w:rsidRDefault="00BC61D4" w:rsidP="00590946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297B">
              <w:rPr>
                <w:rFonts w:ascii="Arial" w:hAnsi="Arial" w:cs="Arial"/>
                <w:sz w:val="22"/>
                <w:szCs w:val="22"/>
              </w:rPr>
              <w:t xml:space="preserve">В случае выбора первого </w:t>
            </w:r>
            <w:r w:rsidR="001B2062" w:rsidRPr="0072297B">
              <w:rPr>
                <w:rFonts w:ascii="Arial" w:hAnsi="Arial" w:cs="Arial"/>
                <w:sz w:val="22"/>
                <w:szCs w:val="22"/>
              </w:rPr>
              <w:t>варианта платежа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 количество</w:t>
            </w:r>
            <w:r w:rsidR="001B2062" w:rsidRPr="0072297B">
              <w:rPr>
                <w:rFonts w:ascii="Arial" w:hAnsi="Arial" w:cs="Arial"/>
                <w:sz w:val="22"/>
                <w:szCs w:val="22"/>
              </w:rPr>
              <w:t xml:space="preserve"> заявок на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 платеж составит 3, количество отчетов </w:t>
            </w:r>
            <w:r w:rsidR="0059094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– 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2 (один </w:t>
            </w:r>
            <w:r w:rsidR="001B2062" w:rsidRPr="0072297B">
              <w:rPr>
                <w:rFonts w:ascii="Arial" w:hAnsi="Arial" w:cs="Arial"/>
                <w:sz w:val="22"/>
                <w:szCs w:val="22"/>
              </w:rPr>
              <w:t>промежуточный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 и один </w:t>
            </w:r>
            <w:r w:rsidR="001B2062" w:rsidRPr="0072297B">
              <w:rPr>
                <w:rFonts w:ascii="Arial" w:hAnsi="Arial" w:cs="Arial"/>
                <w:sz w:val="22"/>
                <w:szCs w:val="22"/>
              </w:rPr>
              <w:t>финальный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062" w:rsidRPr="0072297B">
              <w:rPr>
                <w:rFonts w:ascii="Arial" w:hAnsi="Arial" w:cs="Arial"/>
                <w:sz w:val="22"/>
                <w:szCs w:val="22"/>
              </w:rPr>
              <w:t>отчет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). Промежуточный платеж не может быть разделен на </w:t>
            </w:r>
            <w:r w:rsidR="001B2062" w:rsidRPr="0072297B">
              <w:rPr>
                <w:rFonts w:ascii="Arial" w:hAnsi="Arial" w:cs="Arial"/>
                <w:sz w:val="22"/>
                <w:szCs w:val="22"/>
              </w:rPr>
              <w:t>несколько частей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. Существуют </w:t>
            </w:r>
            <w:r w:rsidR="00590946">
              <w:rPr>
                <w:rFonts w:ascii="Arial" w:hAnsi="Arial" w:cs="Arial"/>
                <w:sz w:val="22"/>
                <w:szCs w:val="22"/>
              </w:rPr>
              <w:t xml:space="preserve">только </w:t>
            </w:r>
            <w:r w:rsidRPr="0072297B">
              <w:rPr>
                <w:rFonts w:ascii="Arial" w:hAnsi="Arial" w:cs="Arial"/>
                <w:sz w:val="22"/>
                <w:szCs w:val="22"/>
              </w:rPr>
              <w:t>два варианта расчетов для проектов</w:t>
            </w:r>
            <w:r w:rsidR="001B2062" w:rsidRPr="0072297B">
              <w:rPr>
                <w:rFonts w:ascii="Arial" w:hAnsi="Arial" w:cs="Arial"/>
                <w:sz w:val="22"/>
                <w:szCs w:val="22"/>
              </w:rPr>
              <w:t>,</w:t>
            </w:r>
            <w:r w:rsidRPr="0072297B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590946">
              <w:rPr>
                <w:rFonts w:ascii="Arial" w:hAnsi="Arial" w:cs="Arial"/>
                <w:sz w:val="22"/>
                <w:szCs w:val="22"/>
              </w:rPr>
              <w:t xml:space="preserve">их </w:t>
            </w:r>
            <w:r w:rsidRPr="0072297B">
              <w:rPr>
                <w:rFonts w:ascii="Arial" w:hAnsi="Arial" w:cs="Arial"/>
                <w:sz w:val="22"/>
                <w:szCs w:val="22"/>
              </w:rPr>
              <w:t>невозможно изменить</w:t>
            </w:r>
            <w:r w:rsidR="001B2062" w:rsidRPr="007229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570F" w:rsidRPr="0072297B" w:rsidTr="00750479">
        <w:trPr>
          <w:trHeight w:val="524"/>
        </w:trPr>
        <w:tc>
          <w:tcPr>
            <w:tcW w:w="9894" w:type="dxa"/>
            <w:shd w:val="clear" w:color="auto" w:fill="D9D9D9" w:themeFill="background1" w:themeFillShade="D9"/>
          </w:tcPr>
          <w:p w:rsidR="007A570F" w:rsidRPr="00CD571E" w:rsidRDefault="00CD571E" w:rsidP="00CD571E">
            <w:pPr>
              <w:jc w:val="both"/>
              <w:rPr>
                <w:rFonts w:ascii="Arial" w:hAnsi="Arial" w:cs="Arial"/>
                <w:b/>
              </w:rPr>
            </w:pPr>
            <w:r w:rsidRPr="00CD571E">
              <w:rPr>
                <w:rFonts w:ascii="Arial" w:hAnsi="Arial" w:cs="Arial"/>
                <w:b/>
              </w:rPr>
              <w:t xml:space="preserve">7. </w:t>
            </w:r>
            <w:r w:rsidR="00BC61D4" w:rsidRPr="00CD571E">
              <w:rPr>
                <w:rFonts w:ascii="Arial" w:hAnsi="Arial" w:cs="Arial"/>
                <w:b/>
              </w:rPr>
              <w:t>Можно ли в рамках проекта применить режим двухэтапного проекта для инвестиций до 1 миллиона евро?</w:t>
            </w:r>
          </w:p>
        </w:tc>
      </w:tr>
      <w:tr w:rsidR="007A570F" w:rsidRPr="0072297B" w:rsidTr="00750479">
        <w:trPr>
          <w:trHeight w:val="287"/>
        </w:trPr>
        <w:tc>
          <w:tcPr>
            <w:tcW w:w="9894" w:type="dxa"/>
            <w:shd w:val="clear" w:color="auto" w:fill="auto"/>
          </w:tcPr>
          <w:p w:rsidR="00BC61D4" w:rsidRPr="0072297B" w:rsidRDefault="00BC61D4" w:rsidP="007802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>Проекты должны быть готовы к осуществлению, а это значит</w:t>
            </w:r>
            <w:r w:rsidR="00532909" w:rsidRPr="0072297B">
              <w:rPr>
                <w:rFonts w:ascii="Arial" w:hAnsi="Arial" w:cs="Arial"/>
              </w:rPr>
              <w:t>,</w:t>
            </w:r>
            <w:r w:rsidRPr="0072297B">
              <w:rPr>
                <w:rFonts w:ascii="Arial" w:hAnsi="Arial" w:cs="Arial"/>
              </w:rPr>
              <w:t xml:space="preserve"> что двухэтапные проекты</w:t>
            </w:r>
            <w:r w:rsidR="00590946">
              <w:rPr>
                <w:rFonts w:ascii="Arial" w:hAnsi="Arial" w:cs="Arial"/>
              </w:rPr>
              <w:t xml:space="preserve"> (включающие как разработку технической документации, так и создание </w:t>
            </w:r>
            <w:r w:rsidR="009C2886">
              <w:rPr>
                <w:rFonts w:ascii="Arial" w:hAnsi="Arial" w:cs="Arial"/>
              </w:rPr>
              <w:t>одного и того же инфраструктурного объекта</w:t>
            </w:r>
            <w:r w:rsidR="00590946">
              <w:rPr>
                <w:rFonts w:ascii="Arial" w:hAnsi="Arial" w:cs="Arial"/>
              </w:rPr>
              <w:t>)</w:t>
            </w:r>
            <w:r w:rsidRPr="0072297B">
              <w:rPr>
                <w:rFonts w:ascii="Arial" w:hAnsi="Arial" w:cs="Arial"/>
              </w:rPr>
              <w:t xml:space="preserve"> не являются приемлемыми (подпункт </w:t>
            </w:r>
            <w:r w:rsidR="00C644C0" w:rsidRPr="0072297B">
              <w:rPr>
                <w:rFonts w:ascii="Arial" w:hAnsi="Arial" w:cs="Arial"/>
              </w:rPr>
              <w:t xml:space="preserve">6.5.5 </w:t>
            </w:r>
            <w:r w:rsidR="009C2886">
              <w:rPr>
                <w:rFonts w:ascii="Arial" w:hAnsi="Arial" w:cs="Arial"/>
              </w:rPr>
              <w:t>«</w:t>
            </w:r>
            <w:r w:rsidR="009C2886" w:rsidRPr="0072297B">
              <w:rPr>
                <w:rFonts w:ascii="Arial" w:hAnsi="Arial" w:cs="Arial"/>
              </w:rPr>
              <w:t>Инфраструктурный компонент (работы, услуги, другие виды деятельности, связанные с запланированными работами</w:t>
            </w:r>
            <w:r w:rsidR="009C2886">
              <w:rPr>
                <w:rFonts w:ascii="Arial" w:hAnsi="Arial" w:cs="Arial"/>
              </w:rPr>
              <w:t>» в «</w:t>
            </w:r>
            <w:r w:rsidR="00C644C0" w:rsidRPr="0072297B">
              <w:rPr>
                <w:rFonts w:ascii="Arial" w:hAnsi="Arial" w:cs="Arial"/>
              </w:rPr>
              <w:t>Руководств</w:t>
            </w:r>
            <w:r w:rsidR="009C2886">
              <w:rPr>
                <w:rFonts w:ascii="Arial" w:hAnsi="Arial" w:cs="Arial"/>
              </w:rPr>
              <w:t>е</w:t>
            </w:r>
            <w:r w:rsidR="00C644C0" w:rsidRPr="0072297B">
              <w:rPr>
                <w:rFonts w:ascii="Arial" w:hAnsi="Arial" w:cs="Arial"/>
              </w:rPr>
              <w:t xml:space="preserve"> по </w:t>
            </w:r>
            <w:r w:rsidR="00D006A6">
              <w:rPr>
                <w:rFonts w:ascii="Arial" w:hAnsi="Arial" w:cs="Arial"/>
              </w:rPr>
              <w:t>П</w:t>
            </w:r>
            <w:r w:rsidR="00C644C0" w:rsidRPr="0072297B">
              <w:rPr>
                <w:rFonts w:ascii="Arial" w:hAnsi="Arial" w:cs="Arial"/>
              </w:rPr>
              <w:t>рограмме</w:t>
            </w:r>
            <w:r w:rsidR="009C2886">
              <w:rPr>
                <w:rFonts w:ascii="Arial" w:hAnsi="Arial" w:cs="Arial"/>
              </w:rPr>
              <w:t>.</w:t>
            </w:r>
            <w:r w:rsidR="00C644C0" w:rsidRPr="0072297B">
              <w:rPr>
                <w:rFonts w:ascii="Arial" w:hAnsi="Arial" w:cs="Arial"/>
              </w:rPr>
              <w:t xml:space="preserve"> Ч</w:t>
            </w:r>
            <w:r w:rsidRPr="0072297B">
              <w:rPr>
                <w:rFonts w:ascii="Arial" w:hAnsi="Arial" w:cs="Arial"/>
              </w:rPr>
              <w:t>асть I</w:t>
            </w:r>
            <w:r w:rsidR="009C2886">
              <w:rPr>
                <w:rFonts w:ascii="Arial" w:hAnsi="Arial" w:cs="Arial"/>
              </w:rPr>
              <w:t>.</w:t>
            </w:r>
            <w:r w:rsidR="00532909" w:rsidRPr="0072297B">
              <w:rPr>
                <w:rFonts w:ascii="Arial" w:hAnsi="Arial" w:cs="Arial"/>
              </w:rPr>
              <w:t xml:space="preserve"> </w:t>
            </w:r>
            <w:r w:rsidR="009C2886">
              <w:rPr>
                <w:rFonts w:ascii="Arial" w:hAnsi="Arial" w:cs="Arial"/>
              </w:rPr>
              <w:t>Д</w:t>
            </w:r>
            <w:r w:rsidR="00C644C0" w:rsidRPr="0072297B">
              <w:rPr>
                <w:rFonts w:ascii="Arial" w:hAnsi="Arial" w:cs="Arial"/>
              </w:rPr>
              <w:t>ля з</w:t>
            </w:r>
            <w:r w:rsidRPr="0072297B">
              <w:rPr>
                <w:rFonts w:ascii="Arial" w:hAnsi="Arial" w:cs="Arial"/>
              </w:rPr>
              <w:t>аявител</w:t>
            </w:r>
            <w:r w:rsidR="00C644C0" w:rsidRPr="0072297B">
              <w:rPr>
                <w:rFonts w:ascii="Arial" w:hAnsi="Arial" w:cs="Arial"/>
              </w:rPr>
              <w:t>ей</w:t>
            </w:r>
            <w:r w:rsidR="009C2886">
              <w:rPr>
                <w:rFonts w:ascii="Arial" w:hAnsi="Arial" w:cs="Arial"/>
              </w:rPr>
              <w:t>»</w:t>
            </w:r>
            <w:r w:rsidRPr="0072297B">
              <w:rPr>
                <w:rFonts w:ascii="Arial" w:hAnsi="Arial" w:cs="Arial"/>
              </w:rPr>
              <w:t>).</w:t>
            </w:r>
          </w:p>
          <w:p w:rsidR="00EE269E" w:rsidRPr="0072297B" w:rsidRDefault="00BC61D4" w:rsidP="009C288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 xml:space="preserve">Для проектов с </w:t>
            </w:r>
            <w:r w:rsidR="00D11E3B" w:rsidRPr="0072297B">
              <w:rPr>
                <w:rFonts w:ascii="Arial" w:hAnsi="Arial" w:cs="Arial"/>
              </w:rPr>
              <w:t>инфраструктурным компонентом</w:t>
            </w:r>
            <w:r w:rsidR="009C2886">
              <w:rPr>
                <w:rFonts w:ascii="Arial" w:hAnsi="Arial" w:cs="Arial"/>
              </w:rPr>
              <w:t xml:space="preserve">: </w:t>
            </w:r>
            <w:r w:rsidR="00D11E3B" w:rsidRPr="0072297B">
              <w:rPr>
                <w:rFonts w:ascii="Arial" w:hAnsi="Arial" w:cs="Arial"/>
              </w:rPr>
              <w:t>д</w:t>
            </w:r>
            <w:r w:rsidRPr="0072297B">
              <w:rPr>
                <w:rFonts w:ascii="Arial" w:hAnsi="Arial" w:cs="Arial"/>
              </w:rPr>
              <w:t>ля поддержания бенефициаров в осуществлении строительных работ и разработке документации, связанн</w:t>
            </w:r>
            <w:r w:rsidR="009C2886">
              <w:rPr>
                <w:rFonts w:ascii="Arial" w:hAnsi="Arial" w:cs="Arial"/>
              </w:rPr>
              <w:t>ой</w:t>
            </w:r>
            <w:r w:rsidRPr="0072297B">
              <w:rPr>
                <w:rFonts w:ascii="Arial" w:hAnsi="Arial" w:cs="Arial"/>
              </w:rPr>
              <w:t xml:space="preserve"> с инфраструктурным компонентом, грант может выделяться </w:t>
            </w:r>
            <w:r w:rsidR="00481680" w:rsidRPr="0072297B">
              <w:rPr>
                <w:rFonts w:ascii="Arial" w:hAnsi="Arial" w:cs="Arial"/>
              </w:rPr>
              <w:t>ретроактивно</w:t>
            </w:r>
            <w:r w:rsidRPr="0072297B">
              <w:rPr>
                <w:rFonts w:ascii="Arial" w:hAnsi="Arial" w:cs="Arial"/>
              </w:rPr>
              <w:t xml:space="preserve"> в случае, если данные расходы были осуществлены после принятия Совместного программного документа (СПД), т.е. после 8 декабря 2016 г.</w:t>
            </w:r>
            <w:r w:rsidR="00D006A6">
              <w:rPr>
                <w:rFonts w:ascii="Arial" w:hAnsi="Arial" w:cs="Arial"/>
              </w:rPr>
              <w:t>,</w:t>
            </w:r>
            <w:r w:rsidR="009C2886">
              <w:rPr>
                <w:rFonts w:ascii="Arial" w:hAnsi="Arial" w:cs="Arial"/>
              </w:rPr>
              <w:t xml:space="preserve"> (для польских бенефициаров) и после подписания финансового соглашения (для российских бенефициаров).</w:t>
            </w:r>
          </w:p>
        </w:tc>
      </w:tr>
      <w:tr w:rsidR="007A570F" w:rsidRPr="0072297B" w:rsidTr="00750479">
        <w:trPr>
          <w:trHeight w:val="396"/>
        </w:trPr>
        <w:tc>
          <w:tcPr>
            <w:tcW w:w="9894" w:type="dxa"/>
            <w:shd w:val="clear" w:color="auto" w:fill="D9D9D9" w:themeFill="background1" w:themeFillShade="D9"/>
          </w:tcPr>
          <w:p w:rsidR="007A570F" w:rsidRPr="00CD571E" w:rsidRDefault="00CD571E" w:rsidP="00CD571E">
            <w:pPr>
              <w:jc w:val="both"/>
              <w:rPr>
                <w:rFonts w:ascii="Arial" w:hAnsi="Arial" w:cs="Arial"/>
                <w:b/>
              </w:rPr>
            </w:pPr>
            <w:r w:rsidRPr="00CD571E">
              <w:rPr>
                <w:rFonts w:ascii="Arial" w:hAnsi="Arial" w:cs="Arial"/>
                <w:b/>
              </w:rPr>
              <w:t xml:space="preserve">8. </w:t>
            </w:r>
            <w:r w:rsidR="00BC61D4" w:rsidRPr="00CD571E">
              <w:rPr>
                <w:rFonts w:ascii="Arial" w:hAnsi="Arial" w:cs="Arial"/>
                <w:b/>
              </w:rPr>
              <w:t xml:space="preserve">Когда надо подписать партнерское соглашение? Вместе с </w:t>
            </w:r>
            <w:r w:rsidR="009C2886" w:rsidRPr="00CD571E">
              <w:rPr>
                <w:rFonts w:ascii="Arial" w:hAnsi="Arial" w:cs="Arial"/>
                <w:b/>
              </w:rPr>
              <w:t>ф</w:t>
            </w:r>
            <w:r w:rsidR="00BC61D4" w:rsidRPr="00CD571E">
              <w:rPr>
                <w:rFonts w:ascii="Arial" w:hAnsi="Arial" w:cs="Arial"/>
                <w:b/>
              </w:rPr>
              <w:t>ормой заявки?</w:t>
            </w:r>
          </w:p>
        </w:tc>
      </w:tr>
      <w:tr w:rsidR="007A570F" w:rsidRPr="0072297B" w:rsidTr="00750479">
        <w:trPr>
          <w:trHeight w:val="1117"/>
        </w:trPr>
        <w:tc>
          <w:tcPr>
            <w:tcW w:w="9894" w:type="dxa"/>
            <w:shd w:val="clear" w:color="auto" w:fill="auto"/>
          </w:tcPr>
          <w:p w:rsidR="00EE269E" w:rsidRDefault="00D11E3B" w:rsidP="00D006A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 xml:space="preserve">В момент предоставления </w:t>
            </w:r>
            <w:r w:rsidR="009C2886">
              <w:rPr>
                <w:rFonts w:ascii="Arial" w:hAnsi="Arial" w:cs="Arial"/>
              </w:rPr>
              <w:t>ф</w:t>
            </w:r>
            <w:r w:rsidR="00BC61D4" w:rsidRPr="0072297B">
              <w:rPr>
                <w:rFonts w:ascii="Arial" w:hAnsi="Arial" w:cs="Arial"/>
              </w:rPr>
              <w:t xml:space="preserve">ормы заявки надо подать только декларацию о партнерстве, которая является </w:t>
            </w:r>
            <w:r w:rsidRPr="0072297B">
              <w:rPr>
                <w:rFonts w:ascii="Arial" w:hAnsi="Arial" w:cs="Arial"/>
              </w:rPr>
              <w:t>П</w:t>
            </w:r>
            <w:r w:rsidR="00BC61D4" w:rsidRPr="0072297B">
              <w:rPr>
                <w:rFonts w:ascii="Arial" w:hAnsi="Arial" w:cs="Arial"/>
              </w:rPr>
              <w:t xml:space="preserve">риложением А1(B) к </w:t>
            </w:r>
            <w:r w:rsidR="009C2886">
              <w:rPr>
                <w:rFonts w:ascii="Arial" w:hAnsi="Arial" w:cs="Arial"/>
              </w:rPr>
              <w:t>ф</w:t>
            </w:r>
            <w:r w:rsidR="00BC61D4" w:rsidRPr="0072297B">
              <w:rPr>
                <w:rFonts w:ascii="Arial" w:hAnsi="Arial" w:cs="Arial"/>
              </w:rPr>
              <w:t>орме заявки. Партнерское соглашение следу</w:t>
            </w:r>
            <w:r w:rsidR="00532909" w:rsidRPr="0072297B">
              <w:rPr>
                <w:rFonts w:ascii="Arial" w:hAnsi="Arial" w:cs="Arial"/>
              </w:rPr>
              <w:t>ет предоставить в СТС п</w:t>
            </w:r>
            <w:r w:rsidR="00BC61D4" w:rsidRPr="0072297B">
              <w:rPr>
                <w:rFonts w:ascii="Arial" w:hAnsi="Arial" w:cs="Arial"/>
              </w:rPr>
              <w:t xml:space="preserve">осле </w:t>
            </w:r>
            <w:r w:rsidR="0072297B">
              <w:rPr>
                <w:rFonts w:ascii="Arial" w:hAnsi="Arial" w:cs="Arial"/>
              </w:rPr>
              <w:t>решения Совместного мониторингов</w:t>
            </w:r>
            <w:r w:rsidR="00BC61D4" w:rsidRPr="0072297B">
              <w:rPr>
                <w:rFonts w:ascii="Arial" w:hAnsi="Arial" w:cs="Arial"/>
              </w:rPr>
              <w:t>о</w:t>
            </w:r>
            <w:r w:rsidR="0072297B">
              <w:rPr>
                <w:rFonts w:ascii="Arial" w:hAnsi="Arial" w:cs="Arial"/>
              </w:rPr>
              <w:t>го</w:t>
            </w:r>
            <w:r w:rsidR="00BC61D4" w:rsidRPr="0072297B">
              <w:rPr>
                <w:rFonts w:ascii="Arial" w:hAnsi="Arial" w:cs="Arial"/>
              </w:rPr>
              <w:t xml:space="preserve"> комитета </w:t>
            </w:r>
            <w:r w:rsidR="00532909" w:rsidRPr="0072297B">
              <w:rPr>
                <w:rFonts w:ascii="Arial" w:hAnsi="Arial" w:cs="Arial"/>
              </w:rPr>
              <w:t>о выделении</w:t>
            </w:r>
            <w:r w:rsidR="00BC61D4" w:rsidRPr="0072297B">
              <w:rPr>
                <w:rFonts w:ascii="Arial" w:hAnsi="Arial" w:cs="Arial"/>
              </w:rPr>
              <w:t xml:space="preserve"> гранта и до того</w:t>
            </w:r>
            <w:r w:rsidR="00532909" w:rsidRPr="0072297B">
              <w:rPr>
                <w:rFonts w:ascii="Arial" w:hAnsi="Arial" w:cs="Arial"/>
              </w:rPr>
              <w:t>,</w:t>
            </w:r>
            <w:r w:rsidR="00BC61D4" w:rsidRPr="0072297B">
              <w:rPr>
                <w:rFonts w:ascii="Arial" w:hAnsi="Arial" w:cs="Arial"/>
              </w:rPr>
              <w:t xml:space="preserve"> как</w:t>
            </w:r>
            <w:r w:rsidR="00532909" w:rsidRPr="0072297B">
              <w:rPr>
                <w:rFonts w:ascii="Arial" w:hAnsi="Arial" w:cs="Arial"/>
              </w:rPr>
              <w:t xml:space="preserve"> будет</w:t>
            </w:r>
            <w:r w:rsidR="00BC61D4" w:rsidRPr="0072297B">
              <w:rPr>
                <w:rFonts w:ascii="Arial" w:hAnsi="Arial" w:cs="Arial"/>
              </w:rPr>
              <w:t xml:space="preserve"> подписан </w:t>
            </w:r>
            <w:r w:rsidRPr="0072297B">
              <w:rPr>
                <w:rFonts w:ascii="Arial" w:hAnsi="Arial" w:cs="Arial"/>
              </w:rPr>
              <w:t>грант</w:t>
            </w:r>
            <w:r w:rsidR="009C2886">
              <w:rPr>
                <w:rFonts w:ascii="Arial" w:hAnsi="Arial" w:cs="Arial"/>
              </w:rPr>
              <w:t>овый</w:t>
            </w:r>
            <w:r w:rsidRPr="0072297B">
              <w:rPr>
                <w:rFonts w:ascii="Arial" w:hAnsi="Arial" w:cs="Arial"/>
              </w:rPr>
              <w:t xml:space="preserve"> </w:t>
            </w:r>
            <w:r w:rsidR="00BC61D4" w:rsidRPr="0072297B">
              <w:rPr>
                <w:rFonts w:ascii="Arial" w:hAnsi="Arial" w:cs="Arial"/>
              </w:rPr>
              <w:t xml:space="preserve">контракт. </w:t>
            </w:r>
            <w:r w:rsidR="009C2886">
              <w:rPr>
                <w:rFonts w:ascii="Arial" w:hAnsi="Arial" w:cs="Arial"/>
              </w:rPr>
              <w:t>С</w:t>
            </w:r>
            <w:r w:rsidR="00BC61D4" w:rsidRPr="0072297B">
              <w:rPr>
                <w:rFonts w:ascii="Arial" w:hAnsi="Arial" w:cs="Arial"/>
              </w:rPr>
              <w:t>оглашени</w:t>
            </w:r>
            <w:r w:rsidR="009C2886">
              <w:rPr>
                <w:rFonts w:ascii="Arial" w:hAnsi="Arial" w:cs="Arial"/>
              </w:rPr>
              <w:t>е, отражающее п</w:t>
            </w:r>
            <w:r w:rsidR="00BC61D4" w:rsidRPr="0072297B">
              <w:rPr>
                <w:rFonts w:ascii="Arial" w:hAnsi="Arial" w:cs="Arial"/>
              </w:rPr>
              <w:t>рава и обязанности бенефициаров</w:t>
            </w:r>
            <w:r w:rsidR="009C2886">
              <w:rPr>
                <w:rFonts w:ascii="Arial" w:hAnsi="Arial" w:cs="Arial"/>
              </w:rPr>
              <w:t xml:space="preserve">, должно быть составлено в соответствии с шаблоном партнерского соглашения, который </w:t>
            </w:r>
            <w:r w:rsidR="00BC61D4" w:rsidRPr="0072297B">
              <w:rPr>
                <w:rFonts w:ascii="Arial" w:hAnsi="Arial" w:cs="Arial"/>
              </w:rPr>
              <w:t>будет размещен на веб</w:t>
            </w:r>
            <w:r w:rsidR="00D006A6">
              <w:rPr>
                <w:rFonts w:ascii="Arial" w:hAnsi="Arial" w:cs="Arial"/>
              </w:rPr>
              <w:t>-</w:t>
            </w:r>
            <w:r w:rsidR="00BC61D4" w:rsidRPr="0072297B">
              <w:rPr>
                <w:rFonts w:ascii="Arial" w:hAnsi="Arial" w:cs="Arial"/>
              </w:rPr>
              <w:t>сайте Программы</w:t>
            </w:r>
            <w:r w:rsidR="00532909" w:rsidRPr="0072297B">
              <w:rPr>
                <w:rFonts w:ascii="Arial" w:hAnsi="Arial" w:cs="Arial"/>
              </w:rPr>
              <w:t>.</w:t>
            </w:r>
          </w:p>
          <w:p w:rsidR="00D006A6" w:rsidRDefault="00D006A6" w:rsidP="00D006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006A6" w:rsidRPr="0072297B" w:rsidRDefault="00D006A6" w:rsidP="00D006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A570F" w:rsidRPr="0072297B" w:rsidTr="00750479">
        <w:trPr>
          <w:trHeight w:val="340"/>
        </w:trPr>
        <w:tc>
          <w:tcPr>
            <w:tcW w:w="9894" w:type="dxa"/>
            <w:shd w:val="clear" w:color="auto" w:fill="D9D9D9" w:themeFill="background1" w:themeFillShade="D9"/>
          </w:tcPr>
          <w:p w:rsidR="007A570F" w:rsidRPr="00CD571E" w:rsidRDefault="00CD571E" w:rsidP="00CD571E">
            <w:pPr>
              <w:jc w:val="both"/>
              <w:rPr>
                <w:rFonts w:ascii="Arial" w:hAnsi="Arial" w:cs="Arial"/>
                <w:b/>
              </w:rPr>
            </w:pPr>
            <w:r w:rsidRPr="00CD571E">
              <w:rPr>
                <w:rFonts w:ascii="Arial" w:hAnsi="Arial" w:cs="Arial"/>
                <w:b/>
              </w:rPr>
              <w:t xml:space="preserve">9. </w:t>
            </w:r>
            <w:r w:rsidR="00BC61D4" w:rsidRPr="00CD571E">
              <w:rPr>
                <w:rFonts w:ascii="Arial" w:hAnsi="Arial" w:cs="Arial"/>
                <w:b/>
              </w:rPr>
              <w:t>Объясните</w:t>
            </w:r>
            <w:r w:rsidR="00532909" w:rsidRPr="00CD571E">
              <w:rPr>
                <w:rFonts w:ascii="Arial" w:hAnsi="Arial" w:cs="Arial"/>
                <w:b/>
              </w:rPr>
              <w:t>,</w:t>
            </w:r>
            <w:r w:rsidR="00BC61D4" w:rsidRPr="00CD571E">
              <w:rPr>
                <w:rFonts w:ascii="Arial" w:hAnsi="Arial" w:cs="Arial"/>
                <w:b/>
              </w:rPr>
              <w:t xml:space="preserve"> пожалуйста</w:t>
            </w:r>
            <w:r w:rsidR="00532909" w:rsidRPr="00CD571E">
              <w:rPr>
                <w:rFonts w:ascii="Arial" w:hAnsi="Arial" w:cs="Arial"/>
                <w:b/>
              </w:rPr>
              <w:t>,</w:t>
            </w:r>
            <w:r w:rsidR="00BC61D4" w:rsidRPr="00CD571E">
              <w:rPr>
                <w:rFonts w:ascii="Arial" w:hAnsi="Arial" w:cs="Arial"/>
                <w:b/>
              </w:rPr>
              <w:t xml:space="preserve"> что такое критерии сотрудничества?</w:t>
            </w:r>
          </w:p>
        </w:tc>
      </w:tr>
      <w:tr w:rsidR="007A570F" w:rsidRPr="0072297B" w:rsidTr="00750479">
        <w:trPr>
          <w:trHeight w:val="287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:rsidR="00BC61D4" w:rsidRPr="0072297B" w:rsidRDefault="00BC61D4" w:rsidP="007802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 xml:space="preserve">Каждый проект должен удовлетворять, по крайней мере, трем из нижеперечисленных </w:t>
            </w:r>
            <w:r w:rsidRPr="0072297B">
              <w:rPr>
                <w:rFonts w:ascii="Arial" w:hAnsi="Arial" w:cs="Arial"/>
              </w:rPr>
              <w:lastRenderedPageBreak/>
              <w:t>четырех критериев:</w:t>
            </w:r>
          </w:p>
          <w:p w:rsidR="00BC61D4" w:rsidRPr="0072297B" w:rsidRDefault="009C2886" w:rsidP="007802F7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61D4" w:rsidRPr="0072297B">
              <w:rPr>
                <w:rFonts w:ascii="Arial" w:hAnsi="Arial" w:cs="Arial"/>
              </w:rPr>
              <w:t>овместная подготовка проекта (обязательно) – каждый проект является результатом работы и соглашений всех партнеров; партнеры</w:t>
            </w:r>
            <w:r w:rsidR="00066F7B" w:rsidRPr="0072297B">
              <w:rPr>
                <w:rFonts w:ascii="Arial" w:hAnsi="Arial" w:cs="Arial"/>
              </w:rPr>
              <w:t>,</w:t>
            </w:r>
            <w:r w:rsidR="00BC61D4" w:rsidRPr="0072297B">
              <w:rPr>
                <w:rFonts w:ascii="Arial" w:hAnsi="Arial" w:cs="Arial"/>
              </w:rPr>
              <w:t xml:space="preserve"> будучи в постоянном контакте</w:t>
            </w:r>
            <w:r w:rsidR="00066F7B" w:rsidRPr="0072297B">
              <w:rPr>
                <w:rFonts w:ascii="Arial" w:hAnsi="Arial" w:cs="Arial"/>
              </w:rPr>
              <w:t>,</w:t>
            </w:r>
            <w:r w:rsidR="00BC61D4" w:rsidRPr="0072297B">
              <w:rPr>
                <w:rFonts w:ascii="Arial" w:hAnsi="Arial" w:cs="Arial"/>
              </w:rPr>
              <w:t xml:space="preserve"> активно учас</w:t>
            </w:r>
            <w:r w:rsidR="00532909" w:rsidRPr="0072297B">
              <w:rPr>
                <w:rFonts w:ascii="Arial" w:hAnsi="Arial" w:cs="Arial"/>
              </w:rPr>
              <w:t xml:space="preserve">твуют в его подготовке от </w:t>
            </w:r>
            <w:r>
              <w:rPr>
                <w:rFonts w:ascii="Arial" w:hAnsi="Arial" w:cs="Arial"/>
              </w:rPr>
              <w:t xml:space="preserve">разработки проектной </w:t>
            </w:r>
            <w:r w:rsidR="00532909" w:rsidRPr="0072297B">
              <w:rPr>
                <w:rFonts w:ascii="Arial" w:hAnsi="Arial" w:cs="Arial"/>
              </w:rPr>
              <w:t>идеи д</w:t>
            </w:r>
            <w:r w:rsidR="00BC61D4" w:rsidRPr="0072297B">
              <w:rPr>
                <w:rFonts w:ascii="Arial" w:hAnsi="Arial" w:cs="Arial"/>
              </w:rPr>
              <w:t>о заполнени</w:t>
            </w:r>
            <w:r w:rsidR="00532909" w:rsidRPr="0072297B">
              <w:rPr>
                <w:rFonts w:ascii="Arial" w:hAnsi="Arial" w:cs="Arial"/>
              </w:rPr>
              <w:t>я</w:t>
            </w:r>
            <w:r w:rsidR="00BC61D4" w:rsidRPr="0072297B">
              <w:rPr>
                <w:rFonts w:ascii="Arial" w:hAnsi="Arial" w:cs="Arial"/>
              </w:rPr>
              <w:t xml:space="preserve"> совместно</w:t>
            </w:r>
            <w:r w:rsidR="00532909" w:rsidRPr="0072297B">
              <w:rPr>
                <w:rFonts w:ascii="Arial" w:hAnsi="Arial" w:cs="Arial"/>
              </w:rPr>
              <w:t>й</w:t>
            </w:r>
            <w:r w:rsidR="00BC61D4" w:rsidRPr="0072297B">
              <w:rPr>
                <w:rFonts w:ascii="Arial" w:hAnsi="Arial" w:cs="Arial"/>
              </w:rPr>
              <w:t xml:space="preserve"> заяв</w:t>
            </w:r>
            <w:r w:rsidR="00532909" w:rsidRPr="0072297B">
              <w:rPr>
                <w:rFonts w:ascii="Arial" w:hAnsi="Arial" w:cs="Arial"/>
              </w:rPr>
              <w:t>ки</w:t>
            </w:r>
            <w:r w:rsidR="00BC61D4" w:rsidRPr="0072297B">
              <w:rPr>
                <w:rFonts w:ascii="Arial" w:hAnsi="Arial" w:cs="Arial"/>
              </w:rPr>
              <w:t xml:space="preserve"> и приложений;</w:t>
            </w:r>
          </w:p>
          <w:p w:rsidR="00BC61D4" w:rsidRPr="0072297B" w:rsidRDefault="009C2886" w:rsidP="007802F7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61D4" w:rsidRPr="0072297B">
              <w:rPr>
                <w:rFonts w:ascii="Arial" w:hAnsi="Arial" w:cs="Arial"/>
              </w:rPr>
              <w:t>овместная реализация проекта (обязательно) – партнеры совместно участвуют в реализации действий</w:t>
            </w:r>
            <w:r w:rsidR="00234A34" w:rsidRPr="0072297B">
              <w:rPr>
                <w:rFonts w:ascii="Arial" w:hAnsi="Arial" w:cs="Arial"/>
              </w:rPr>
              <w:t>,</w:t>
            </w:r>
            <w:r w:rsidR="00BC61D4" w:rsidRPr="0072297B">
              <w:rPr>
                <w:rFonts w:ascii="Arial" w:hAnsi="Arial" w:cs="Arial"/>
              </w:rPr>
              <w:t xml:space="preserve"> предусм</w:t>
            </w:r>
            <w:r w:rsidR="00234A34" w:rsidRPr="0072297B">
              <w:rPr>
                <w:rFonts w:ascii="Arial" w:hAnsi="Arial" w:cs="Arial"/>
              </w:rPr>
              <w:t>отренны</w:t>
            </w:r>
            <w:r w:rsidR="00BC61D4" w:rsidRPr="0072297B">
              <w:rPr>
                <w:rFonts w:ascii="Arial" w:hAnsi="Arial" w:cs="Arial"/>
              </w:rPr>
              <w:t>х по проекту, сп</w:t>
            </w:r>
            <w:r w:rsidR="00066F7B" w:rsidRPr="0072297B">
              <w:rPr>
                <w:rFonts w:ascii="Arial" w:hAnsi="Arial" w:cs="Arial"/>
              </w:rPr>
              <w:t xml:space="preserve">особствуя </w:t>
            </w:r>
            <w:r>
              <w:rPr>
                <w:rFonts w:ascii="Arial" w:hAnsi="Arial" w:cs="Arial"/>
              </w:rPr>
              <w:t>достижению</w:t>
            </w:r>
            <w:r w:rsidR="00066F7B" w:rsidRPr="0072297B">
              <w:rPr>
                <w:rFonts w:ascii="Arial" w:hAnsi="Arial" w:cs="Arial"/>
              </w:rPr>
              <w:t xml:space="preserve"> его целей;</w:t>
            </w:r>
          </w:p>
          <w:p w:rsidR="00BC61D4" w:rsidRPr="0072297B" w:rsidRDefault="009C2886" w:rsidP="007802F7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61D4" w:rsidRPr="0072297B">
              <w:rPr>
                <w:rFonts w:ascii="Arial" w:hAnsi="Arial" w:cs="Arial"/>
              </w:rPr>
              <w:t>овместное финансовое управление (</w:t>
            </w:r>
            <w:r w:rsidR="00C644C0" w:rsidRPr="0072297B">
              <w:rPr>
                <w:rFonts w:ascii="Arial" w:hAnsi="Arial" w:cs="Arial"/>
              </w:rPr>
              <w:t>опционно</w:t>
            </w:r>
            <w:r w:rsidR="00BC61D4" w:rsidRPr="0072297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72297B">
              <w:rPr>
                <w:rFonts w:ascii="Arial" w:hAnsi="Arial" w:cs="Arial"/>
              </w:rPr>
              <w:t>–</w:t>
            </w:r>
            <w:r w:rsidR="00BC61D4" w:rsidRPr="0072297B">
              <w:rPr>
                <w:rFonts w:ascii="Arial" w:hAnsi="Arial" w:cs="Arial"/>
              </w:rPr>
              <w:t xml:space="preserve"> проект имеет один совместный бюджет, </w:t>
            </w:r>
            <w:r w:rsidR="000D62AE" w:rsidRPr="0072297B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ключающий </w:t>
            </w:r>
            <w:r w:rsidR="00BC61D4" w:rsidRPr="0072297B">
              <w:rPr>
                <w:rFonts w:ascii="Arial" w:hAnsi="Arial" w:cs="Arial"/>
              </w:rPr>
              <w:t>расходы</w:t>
            </w:r>
            <w:r>
              <w:rPr>
                <w:rFonts w:ascii="Arial" w:hAnsi="Arial" w:cs="Arial"/>
              </w:rPr>
              <w:t xml:space="preserve"> каждого из </w:t>
            </w:r>
            <w:r w:rsidR="00BC61D4" w:rsidRPr="0072297B">
              <w:rPr>
                <w:rFonts w:ascii="Arial" w:hAnsi="Arial" w:cs="Arial"/>
              </w:rPr>
              <w:t>партнер</w:t>
            </w:r>
            <w:r>
              <w:rPr>
                <w:rFonts w:ascii="Arial" w:hAnsi="Arial" w:cs="Arial"/>
              </w:rPr>
              <w:t>ов</w:t>
            </w:r>
            <w:r w:rsidR="00BC61D4" w:rsidRPr="0072297B">
              <w:rPr>
                <w:rFonts w:ascii="Arial" w:hAnsi="Arial" w:cs="Arial"/>
              </w:rPr>
              <w:t xml:space="preserve"> проекта</w:t>
            </w:r>
            <w:r w:rsidR="00D006A6">
              <w:rPr>
                <w:rFonts w:ascii="Arial" w:hAnsi="Arial" w:cs="Arial"/>
              </w:rPr>
              <w:t>; ф</w:t>
            </w:r>
            <w:r w:rsidR="00C1213E" w:rsidRPr="0072297B">
              <w:rPr>
                <w:rFonts w:ascii="Arial" w:hAnsi="Arial" w:cs="Arial"/>
              </w:rPr>
              <w:t xml:space="preserve">инансовые обязательства партнеров связаны с действиями, осуществляемыми </w:t>
            </w:r>
            <w:r>
              <w:rPr>
                <w:rFonts w:ascii="Arial" w:hAnsi="Arial" w:cs="Arial"/>
              </w:rPr>
              <w:t xml:space="preserve">ими </w:t>
            </w:r>
            <w:r w:rsidR="00C1213E" w:rsidRPr="0072297B">
              <w:rPr>
                <w:rFonts w:ascii="Arial" w:hAnsi="Arial" w:cs="Arial"/>
              </w:rPr>
              <w:t>в рамках проекта;</w:t>
            </w:r>
          </w:p>
          <w:p w:rsidR="007A570F" w:rsidRPr="0072297B" w:rsidRDefault="009C2886" w:rsidP="00C644C0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61D4" w:rsidRPr="0072297B">
              <w:rPr>
                <w:rFonts w:ascii="Arial" w:hAnsi="Arial" w:cs="Arial"/>
              </w:rPr>
              <w:t>овместный персонал проекта (</w:t>
            </w:r>
            <w:r w:rsidR="00C644C0" w:rsidRPr="0072297B">
              <w:rPr>
                <w:rFonts w:ascii="Arial" w:hAnsi="Arial" w:cs="Arial"/>
              </w:rPr>
              <w:t>опционно</w:t>
            </w:r>
            <w:r w:rsidR="00BC61D4" w:rsidRPr="0072297B">
              <w:rPr>
                <w:rFonts w:ascii="Arial" w:hAnsi="Arial" w:cs="Arial"/>
              </w:rPr>
              <w:t>) – выбор лиц</w:t>
            </w:r>
            <w:r w:rsidR="000D62AE" w:rsidRPr="0072297B">
              <w:rPr>
                <w:rFonts w:ascii="Arial" w:hAnsi="Arial" w:cs="Arial"/>
              </w:rPr>
              <w:t>,</w:t>
            </w:r>
            <w:r w:rsidR="00BC61D4" w:rsidRPr="0072297B">
              <w:rPr>
                <w:rFonts w:ascii="Arial" w:hAnsi="Arial" w:cs="Arial"/>
              </w:rPr>
              <w:t xml:space="preserve"> ответственных за реализацию отдельных компонентов проекта всеми партнерами.</w:t>
            </w:r>
          </w:p>
        </w:tc>
      </w:tr>
      <w:tr w:rsidR="00EE269E" w:rsidRPr="0072297B" w:rsidTr="00750479">
        <w:trPr>
          <w:trHeight w:val="372"/>
        </w:trPr>
        <w:tc>
          <w:tcPr>
            <w:tcW w:w="9894" w:type="dxa"/>
            <w:shd w:val="clear" w:color="auto" w:fill="D9D9D9" w:themeFill="background1" w:themeFillShade="D9"/>
          </w:tcPr>
          <w:p w:rsidR="00EE269E" w:rsidRPr="00CD571E" w:rsidRDefault="00CD571E" w:rsidP="00CD571E">
            <w:pPr>
              <w:jc w:val="both"/>
              <w:rPr>
                <w:rFonts w:ascii="Arial" w:hAnsi="Arial" w:cs="Arial"/>
                <w:b/>
              </w:rPr>
            </w:pPr>
            <w:r w:rsidRPr="00CD571E">
              <w:rPr>
                <w:rFonts w:ascii="Arial" w:hAnsi="Arial" w:cs="Arial"/>
                <w:b/>
              </w:rPr>
              <w:lastRenderedPageBreak/>
              <w:t xml:space="preserve">10. </w:t>
            </w:r>
            <w:r w:rsidR="00BC61D4" w:rsidRPr="00CD571E">
              <w:rPr>
                <w:rFonts w:ascii="Arial" w:hAnsi="Arial" w:cs="Arial"/>
                <w:b/>
              </w:rPr>
              <w:t xml:space="preserve">Может ли одно учреждение быть ведущим бенефициаром </w:t>
            </w:r>
            <w:r w:rsidR="009C2886" w:rsidRPr="00CD571E">
              <w:rPr>
                <w:rFonts w:ascii="Arial" w:hAnsi="Arial" w:cs="Arial"/>
                <w:b/>
              </w:rPr>
              <w:t>в</w:t>
            </w:r>
            <w:r w:rsidR="00BC61D4" w:rsidRPr="00CD571E">
              <w:rPr>
                <w:rFonts w:ascii="Arial" w:hAnsi="Arial" w:cs="Arial"/>
                <w:b/>
              </w:rPr>
              <w:t xml:space="preserve"> нескольки</w:t>
            </w:r>
            <w:r w:rsidR="009C2886" w:rsidRPr="00CD571E">
              <w:rPr>
                <w:rFonts w:ascii="Arial" w:hAnsi="Arial" w:cs="Arial"/>
                <w:b/>
              </w:rPr>
              <w:t>х</w:t>
            </w:r>
            <w:r w:rsidR="00BC61D4" w:rsidRPr="00CD571E">
              <w:rPr>
                <w:rFonts w:ascii="Arial" w:hAnsi="Arial" w:cs="Arial"/>
                <w:b/>
              </w:rPr>
              <w:t xml:space="preserve"> проекта</w:t>
            </w:r>
            <w:r w:rsidR="009C2886" w:rsidRPr="00CD571E">
              <w:rPr>
                <w:rFonts w:ascii="Arial" w:hAnsi="Arial" w:cs="Arial"/>
                <w:b/>
              </w:rPr>
              <w:t>х</w:t>
            </w:r>
            <w:r w:rsidR="00BC61D4" w:rsidRPr="00CD571E">
              <w:rPr>
                <w:rFonts w:ascii="Arial" w:hAnsi="Arial" w:cs="Arial"/>
                <w:b/>
              </w:rPr>
              <w:t>?</w:t>
            </w:r>
          </w:p>
        </w:tc>
      </w:tr>
      <w:tr w:rsidR="00EE269E" w:rsidRPr="0072297B" w:rsidTr="00750479">
        <w:trPr>
          <w:trHeight w:val="287"/>
        </w:trPr>
        <w:tc>
          <w:tcPr>
            <w:tcW w:w="9894" w:type="dxa"/>
            <w:shd w:val="clear" w:color="auto" w:fill="auto"/>
          </w:tcPr>
          <w:p w:rsidR="00D006A6" w:rsidRDefault="00BC61D4" w:rsidP="007802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 xml:space="preserve">Согласно пункту 2.3.5 </w:t>
            </w:r>
            <w:r w:rsidR="009C2886">
              <w:rPr>
                <w:rFonts w:ascii="Arial" w:hAnsi="Arial" w:cs="Arial"/>
              </w:rPr>
              <w:t>«</w:t>
            </w:r>
            <w:r w:rsidR="009C2886" w:rsidRPr="0072297B">
              <w:rPr>
                <w:rFonts w:ascii="Arial" w:hAnsi="Arial" w:cs="Arial"/>
              </w:rPr>
              <w:t>Руководств</w:t>
            </w:r>
            <w:r w:rsidR="009C2886">
              <w:rPr>
                <w:rFonts w:ascii="Arial" w:hAnsi="Arial" w:cs="Arial"/>
              </w:rPr>
              <w:t>а</w:t>
            </w:r>
            <w:r w:rsidR="009C2886" w:rsidRPr="0072297B">
              <w:rPr>
                <w:rFonts w:ascii="Arial" w:hAnsi="Arial" w:cs="Arial"/>
              </w:rPr>
              <w:t xml:space="preserve"> по </w:t>
            </w:r>
            <w:r w:rsidR="00D006A6">
              <w:rPr>
                <w:rFonts w:ascii="Arial" w:hAnsi="Arial" w:cs="Arial"/>
              </w:rPr>
              <w:t>П</w:t>
            </w:r>
            <w:r w:rsidR="009C2886" w:rsidRPr="0072297B">
              <w:rPr>
                <w:rFonts w:ascii="Arial" w:hAnsi="Arial" w:cs="Arial"/>
              </w:rPr>
              <w:t>рограмме</w:t>
            </w:r>
            <w:r w:rsidR="009C2886">
              <w:rPr>
                <w:rFonts w:ascii="Arial" w:hAnsi="Arial" w:cs="Arial"/>
              </w:rPr>
              <w:t>.</w:t>
            </w:r>
            <w:r w:rsidR="009C2886" w:rsidRPr="0072297B">
              <w:rPr>
                <w:rFonts w:ascii="Arial" w:hAnsi="Arial" w:cs="Arial"/>
              </w:rPr>
              <w:t xml:space="preserve"> Часть I</w:t>
            </w:r>
            <w:r w:rsidR="009C2886">
              <w:rPr>
                <w:rFonts w:ascii="Arial" w:hAnsi="Arial" w:cs="Arial"/>
              </w:rPr>
              <w:t>.</w:t>
            </w:r>
            <w:r w:rsidR="009C2886" w:rsidRPr="0072297B">
              <w:rPr>
                <w:rFonts w:ascii="Arial" w:hAnsi="Arial" w:cs="Arial"/>
              </w:rPr>
              <w:t xml:space="preserve"> </w:t>
            </w:r>
            <w:r w:rsidR="009C2886">
              <w:rPr>
                <w:rFonts w:ascii="Arial" w:hAnsi="Arial" w:cs="Arial"/>
              </w:rPr>
              <w:t>Д</w:t>
            </w:r>
            <w:r w:rsidR="009C2886" w:rsidRPr="0072297B">
              <w:rPr>
                <w:rFonts w:ascii="Arial" w:hAnsi="Arial" w:cs="Arial"/>
              </w:rPr>
              <w:t>ля заявителей</w:t>
            </w:r>
            <w:r w:rsidR="009C2886">
              <w:rPr>
                <w:rFonts w:ascii="Arial" w:hAnsi="Arial" w:cs="Arial"/>
              </w:rPr>
              <w:t>»</w:t>
            </w:r>
            <w:r w:rsidRPr="0072297B">
              <w:rPr>
                <w:rFonts w:ascii="Arial" w:hAnsi="Arial" w:cs="Arial"/>
              </w:rPr>
              <w:t xml:space="preserve"> ведущий бенефициар может подать </w:t>
            </w:r>
            <w:r w:rsidR="00E25EE1" w:rsidRPr="0072297B">
              <w:rPr>
                <w:rFonts w:ascii="Arial" w:hAnsi="Arial" w:cs="Arial"/>
              </w:rPr>
              <w:t>более одной</w:t>
            </w:r>
            <w:r w:rsidRPr="0072297B">
              <w:rPr>
                <w:rFonts w:ascii="Arial" w:hAnsi="Arial" w:cs="Arial"/>
              </w:rPr>
              <w:t xml:space="preserve"> </w:t>
            </w:r>
            <w:r w:rsidR="00E25EE1" w:rsidRPr="0072297B">
              <w:rPr>
                <w:rFonts w:ascii="Arial" w:hAnsi="Arial" w:cs="Arial"/>
              </w:rPr>
              <w:t>проектной</w:t>
            </w:r>
            <w:r w:rsidRPr="0072297B">
              <w:rPr>
                <w:rFonts w:ascii="Arial" w:hAnsi="Arial" w:cs="Arial"/>
              </w:rPr>
              <w:t xml:space="preserve"> заявки. В ситуации</w:t>
            </w:r>
            <w:r w:rsidR="000D62AE" w:rsidRPr="0072297B">
              <w:rPr>
                <w:rFonts w:ascii="Arial" w:hAnsi="Arial" w:cs="Arial"/>
              </w:rPr>
              <w:t>,</w:t>
            </w:r>
            <w:r w:rsidRPr="0072297B">
              <w:rPr>
                <w:rFonts w:ascii="Arial" w:hAnsi="Arial" w:cs="Arial"/>
              </w:rPr>
              <w:t xml:space="preserve"> когда для финансирования были отобраны несколько проектов, но ведущий бенефициар не </w:t>
            </w:r>
            <w:r w:rsidR="009C2886">
              <w:rPr>
                <w:rFonts w:ascii="Arial" w:hAnsi="Arial" w:cs="Arial"/>
              </w:rPr>
              <w:t xml:space="preserve">обладает </w:t>
            </w:r>
            <w:r w:rsidRPr="0072297B">
              <w:rPr>
                <w:rFonts w:ascii="Arial" w:hAnsi="Arial" w:cs="Arial"/>
              </w:rPr>
              <w:t>необходим</w:t>
            </w:r>
            <w:r w:rsidR="009C2886">
              <w:rPr>
                <w:rFonts w:ascii="Arial" w:hAnsi="Arial" w:cs="Arial"/>
              </w:rPr>
              <w:t>ым</w:t>
            </w:r>
            <w:r w:rsidRPr="0072297B">
              <w:rPr>
                <w:rFonts w:ascii="Arial" w:hAnsi="Arial" w:cs="Arial"/>
              </w:rPr>
              <w:t xml:space="preserve"> потенциал</w:t>
            </w:r>
            <w:r w:rsidR="009C2886">
              <w:rPr>
                <w:rFonts w:ascii="Arial" w:hAnsi="Arial" w:cs="Arial"/>
              </w:rPr>
              <w:t>ом</w:t>
            </w:r>
            <w:r w:rsidRPr="0072297B">
              <w:rPr>
                <w:rFonts w:ascii="Arial" w:hAnsi="Arial" w:cs="Arial"/>
              </w:rPr>
              <w:t xml:space="preserve"> для реализации всех отобранных для получения гранта проектных предложений, проектные предложения, которые получили наименьшее количество оценочных баллов, могут быть отклонены</w:t>
            </w:r>
            <w:r w:rsidR="00E25EE1" w:rsidRPr="0072297B">
              <w:rPr>
                <w:rFonts w:ascii="Arial" w:hAnsi="Arial" w:cs="Arial"/>
              </w:rPr>
              <w:t>, а проектное предложение (проектные предложения), для реализации которого ведущий бенефициар обладает достаточными потенциалом, будет отобрано для получения гранта.</w:t>
            </w:r>
            <w:r w:rsidRPr="0072297B">
              <w:rPr>
                <w:rFonts w:ascii="Arial" w:hAnsi="Arial" w:cs="Arial"/>
              </w:rPr>
              <w:t xml:space="preserve"> </w:t>
            </w:r>
          </w:p>
          <w:p w:rsidR="00BC61D4" w:rsidRPr="0072297B" w:rsidRDefault="00E25EE1" w:rsidP="007802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>Бенефициары могут заявляться для участия в нескольких проектных заявках.</w:t>
            </w:r>
          </w:p>
          <w:p w:rsidR="00EE269E" w:rsidRPr="0072297B" w:rsidRDefault="00BC61D4" w:rsidP="007802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297B">
              <w:rPr>
                <w:rFonts w:ascii="Arial" w:hAnsi="Arial" w:cs="Arial"/>
              </w:rPr>
              <w:t>Может быть принято решение о сокращении количества проектов</w:t>
            </w:r>
            <w:r w:rsidR="00C644C0" w:rsidRPr="0072297B">
              <w:rPr>
                <w:rFonts w:ascii="Arial" w:hAnsi="Arial" w:cs="Arial"/>
              </w:rPr>
              <w:t xml:space="preserve"> с одним и тем же ведущим бенефициаром</w:t>
            </w:r>
            <w:r w:rsidR="000D62AE" w:rsidRPr="0072297B">
              <w:rPr>
                <w:rFonts w:ascii="Arial" w:hAnsi="Arial" w:cs="Arial"/>
              </w:rPr>
              <w:t>,</w:t>
            </w:r>
            <w:r w:rsidRPr="0072297B">
              <w:rPr>
                <w:rFonts w:ascii="Arial" w:hAnsi="Arial" w:cs="Arial"/>
              </w:rPr>
              <w:t xml:space="preserve"> отобран</w:t>
            </w:r>
            <w:r w:rsidR="00C644C0" w:rsidRPr="0072297B">
              <w:rPr>
                <w:rFonts w:ascii="Arial" w:hAnsi="Arial" w:cs="Arial"/>
              </w:rPr>
              <w:t>ных для финансирования.</w:t>
            </w:r>
          </w:p>
        </w:tc>
      </w:tr>
    </w:tbl>
    <w:p w:rsidR="004D085E" w:rsidRPr="0072297B" w:rsidRDefault="004D085E" w:rsidP="002A68BB">
      <w:pPr>
        <w:tabs>
          <w:tab w:val="left" w:pos="1515"/>
        </w:tabs>
      </w:pPr>
    </w:p>
    <w:sectPr w:rsidR="004D085E" w:rsidRPr="0072297B" w:rsidSect="00A404A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72" w:rsidRPr="006023FE" w:rsidRDefault="00537D72" w:rsidP="007A570F">
      <w:pPr>
        <w:spacing w:after="0" w:line="240" w:lineRule="auto"/>
        <w:rPr>
          <w:sz w:val="20"/>
          <w:szCs w:val="20"/>
        </w:rPr>
      </w:pPr>
      <w:r w:rsidRPr="006023FE">
        <w:rPr>
          <w:sz w:val="20"/>
          <w:szCs w:val="20"/>
        </w:rPr>
        <w:separator/>
      </w:r>
    </w:p>
  </w:endnote>
  <w:endnote w:type="continuationSeparator" w:id="0">
    <w:p w:rsidR="00537D72" w:rsidRPr="006023FE" w:rsidRDefault="00537D72" w:rsidP="007A570F">
      <w:pPr>
        <w:spacing w:after="0" w:line="240" w:lineRule="auto"/>
        <w:rPr>
          <w:sz w:val="20"/>
          <w:szCs w:val="20"/>
        </w:rPr>
      </w:pPr>
      <w:r w:rsidRPr="006023FE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576695860"/>
      <w:docPartObj>
        <w:docPartGallery w:val="Page Numbers (Bottom of Page)"/>
        <w:docPartUnique/>
      </w:docPartObj>
    </w:sdtPr>
    <w:sdtContent>
      <w:p w:rsidR="00976E5C" w:rsidRPr="006023FE" w:rsidRDefault="00853F74">
        <w:pPr>
          <w:pStyle w:val="Stopka"/>
          <w:jc w:val="right"/>
          <w:rPr>
            <w:sz w:val="20"/>
            <w:szCs w:val="20"/>
          </w:rPr>
        </w:pPr>
        <w:r w:rsidRPr="006023FE">
          <w:rPr>
            <w:sz w:val="20"/>
            <w:szCs w:val="20"/>
          </w:rPr>
          <w:fldChar w:fldCharType="begin"/>
        </w:r>
        <w:r w:rsidR="00816E55" w:rsidRPr="006023FE">
          <w:rPr>
            <w:sz w:val="20"/>
            <w:szCs w:val="20"/>
          </w:rPr>
          <w:instrText xml:space="preserve"> PAGE   \* MERGEFORMAT </w:instrText>
        </w:r>
        <w:r w:rsidRPr="006023FE">
          <w:rPr>
            <w:sz w:val="20"/>
            <w:szCs w:val="20"/>
          </w:rPr>
          <w:fldChar w:fldCharType="separate"/>
        </w:r>
        <w:r w:rsidR="00CD571E">
          <w:rPr>
            <w:noProof/>
            <w:sz w:val="20"/>
            <w:szCs w:val="20"/>
          </w:rPr>
          <w:t>1</w:t>
        </w:r>
        <w:r w:rsidRPr="006023FE">
          <w:rPr>
            <w:sz w:val="20"/>
            <w:szCs w:val="20"/>
          </w:rPr>
          <w:fldChar w:fldCharType="end"/>
        </w:r>
      </w:p>
    </w:sdtContent>
  </w:sdt>
  <w:p w:rsidR="00976E5C" w:rsidRPr="006023FE" w:rsidRDefault="00537D72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72" w:rsidRPr="006023FE" w:rsidRDefault="00537D72" w:rsidP="007A570F">
      <w:pPr>
        <w:spacing w:after="0" w:line="240" w:lineRule="auto"/>
        <w:rPr>
          <w:sz w:val="20"/>
          <w:szCs w:val="20"/>
        </w:rPr>
      </w:pPr>
      <w:r w:rsidRPr="006023FE">
        <w:rPr>
          <w:sz w:val="20"/>
          <w:szCs w:val="20"/>
        </w:rPr>
        <w:separator/>
      </w:r>
    </w:p>
  </w:footnote>
  <w:footnote w:type="continuationSeparator" w:id="0">
    <w:p w:rsidR="00537D72" w:rsidRPr="006023FE" w:rsidRDefault="00537D72" w:rsidP="007A570F">
      <w:pPr>
        <w:spacing w:after="0" w:line="240" w:lineRule="auto"/>
        <w:rPr>
          <w:sz w:val="20"/>
          <w:szCs w:val="20"/>
        </w:rPr>
      </w:pPr>
      <w:r w:rsidRPr="006023FE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5C" w:rsidRPr="006023FE" w:rsidRDefault="00816E55" w:rsidP="00A404A7">
    <w:pPr>
      <w:rPr>
        <w:b/>
        <w:color w:val="548DD4" w:themeColor="text2" w:themeTint="99"/>
        <w:sz w:val="26"/>
        <w:szCs w:val="26"/>
      </w:rPr>
    </w:pPr>
    <w:r w:rsidRPr="006023FE">
      <w:rPr>
        <w:noProof/>
        <w:sz w:val="20"/>
        <w:szCs w:val="20"/>
        <w:lang w:val="pl-PL" w:eastAsia="pl-PL"/>
      </w:rPr>
      <w:drawing>
        <wp:inline distT="0" distB="0" distL="0" distR="0">
          <wp:extent cx="2714625" cy="689283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3FE">
      <w:rPr>
        <w:sz w:val="20"/>
        <w:szCs w:val="20"/>
      </w:rPr>
      <w:t xml:space="preserve">     </w:t>
    </w:r>
    <w:r w:rsidRPr="006023FE">
      <w:rPr>
        <w:b/>
        <w:sz w:val="26"/>
        <w:szCs w:val="26"/>
      </w:rPr>
      <w:t xml:space="preserve">QUESTIONS &amp; ANSWERS </w:t>
    </w:r>
    <w:r w:rsidR="007A570F" w:rsidRPr="006023FE">
      <w:rPr>
        <w:b/>
        <w:color w:val="548DD4" w:themeColor="text2" w:themeTint="99"/>
        <w:sz w:val="26"/>
        <w:szCs w:val="26"/>
      </w:rPr>
      <w:t>25</w:t>
    </w:r>
    <w:r w:rsidRPr="006023FE">
      <w:rPr>
        <w:b/>
        <w:color w:val="548DD4" w:themeColor="text2" w:themeTint="99"/>
        <w:sz w:val="26"/>
        <w:szCs w:val="26"/>
      </w:rPr>
      <w:t xml:space="preserve"> September 2017</w:t>
    </w:r>
  </w:p>
  <w:p w:rsidR="00976E5C" w:rsidRPr="006023FE" w:rsidRDefault="00537D72" w:rsidP="00A404A7">
    <w:pPr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281"/>
    <w:multiLevelType w:val="hybridMultilevel"/>
    <w:tmpl w:val="443AC4AE"/>
    <w:lvl w:ilvl="0" w:tplc="FB44E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865"/>
    <w:multiLevelType w:val="hybridMultilevel"/>
    <w:tmpl w:val="6C1A91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3DE5"/>
    <w:multiLevelType w:val="hybridMultilevel"/>
    <w:tmpl w:val="65364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5D91"/>
    <w:multiLevelType w:val="hybridMultilevel"/>
    <w:tmpl w:val="1250ED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515D"/>
    <w:multiLevelType w:val="hybridMultilevel"/>
    <w:tmpl w:val="7A2A3E7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2616"/>
    <w:multiLevelType w:val="hybridMultilevel"/>
    <w:tmpl w:val="88CEBFBC"/>
    <w:lvl w:ilvl="0" w:tplc="B9A685D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737FF"/>
    <w:multiLevelType w:val="hybridMultilevel"/>
    <w:tmpl w:val="443AC4AE"/>
    <w:lvl w:ilvl="0" w:tplc="FB44E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C1E09"/>
    <w:multiLevelType w:val="hybridMultilevel"/>
    <w:tmpl w:val="F8C4345E"/>
    <w:lvl w:ilvl="0" w:tplc="D72C6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A5945"/>
    <w:multiLevelType w:val="hybridMultilevel"/>
    <w:tmpl w:val="712C1A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3C47"/>
    <w:multiLevelType w:val="hybridMultilevel"/>
    <w:tmpl w:val="7E8C4C82"/>
    <w:lvl w:ilvl="0" w:tplc="D72C6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61230"/>
    <w:multiLevelType w:val="hybridMultilevel"/>
    <w:tmpl w:val="4A760C6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65684"/>
    <w:multiLevelType w:val="hybridMultilevel"/>
    <w:tmpl w:val="2B2CBF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95943"/>
    <w:multiLevelType w:val="hybridMultilevel"/>
    <w:tmpl w:val="443AC4AE"/>
    <w:lvl w:ilvl="0" w:tplc="FB44E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A4F8F"/>
    <w:multiLevelType w:val="hybridMultilevel"/>
    <w:tmpl w:val="6EAADF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85D95"/>
    <w:multiLevelType w:val="hybridMultilevel"/>
    <w:tmpl w:val="443AC4AE"/>
    <w:lvl w:ilvl="0" w:tplc="FB44E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4654C"/>
    <w:multiLevelType w:val="hybridMultilevel"/>
    <w:tmpl w:val="D99000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403BE"/>
    <w:multiLevelType w:val="hybridMultilevel"/>
    <w:tmpl w:val="443AC4AE"/>
    <w:lvl w:ilvl="0" w:tplc="FB44E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E2CB6"/>
    <w:multiLevelType w:val="hybridMultilevel"/>
    <w:tmpl w:val="0F9AC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B7FA3"/>
    <w:multiLevelType w:val="hybridMultilevel"/>
    <w:tmpl w:val="4D144588"/>
    <w:lvl w:ilvl="0" w:tplc="E7984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7750F"/>
    <w:multiLevelType w:val="hybridMultilevel"/>
    <w:tmpl w:val="9C4E08C4"/>
    <w:lvl w:ilvl="0" w:tplc="BFF2486A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7"/>
  </w:num>
  <w:num w:numId="5">
    <w:abstractNumId w:val="15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18"/>
  </w:num>
  <w:num w:numId="15">
    <w:abstractNumId w:val="16"/>
  </w:num>
  <w:num w:numId="16">
    <w:abstractNumId w:val="14"/>
  </w:num>
  <w:num w:numId="17">
    <w:abstractNumId w:val="12"/>
  </w:num>
  <w:num w:numId="18">
    <w:abstractNumId w:val="6"/>
  </w:num>
  <w:num w:numId="19">
    <w:abstractNumId w:val="0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70F"/>
    <w:rsid w:val="00066F7B"/>
    <w:rsid w:val="000D62AE"/>
    <w:rsid w:val="00115A32"/>
    <w:rsid w:val="001340C2"/>
    <w:rsid w:val="001B2062"/>
    <w:rsid w:val="001F746B"/>
    <w:rsid w:val="00234A34"/>
    <w:rsid w:val="0029673B"/>
    <w:rsid w:val="002A68BB"/>
    <w:rsid w:val="00393E8A"/>
    <w:rsid w:val="003F276E"/>
    <w:rsid w:val="00481680"/>
    <w:rsid w:val="004C7BE2"/>
    <w:rsid w:val="004D085E"/>
    <w:rsid w:val="004E5DF5"/>
    <w:rsid w:val="00500BFB"/>
    <w:rsid w:val="00532909"/>
    <w:rsid w:val="00537D72"/>
    <w:rsid w:val="00541C3D"/>
    <w:rsid w:val="00547FF5"/>
    <w:rsid w:val="00590946"/>
    <w:rsid w:val="00593CE1"/>
    <w:rsid w:val="006023FE"/>
    <w:rsid w:val="00642C8F"/>
    <w:rsid w:val="006F7CBD"/>
    <w:rsid w:val="0072297B"/>
    <w:rsid w:val="00723876"/>
    <w:rsid w:val="007261B6"/>
    <w:rsid w:val="00750479"/>
    <w:rsid w:val="007802F7"/>
    <w:rsid w:val="007A570F"/>
    <w:rsid w:val="007F5E30"/>
    <w:rsid w:val="00800FE7"/>
    <w:rsid w:val="00816E55"/>
    <w:rsid w:val="00835DE5"/>
    <w:rsid w:val="00853F74"/>
    <w:rsid w:val="00882AB4"/>
    <w:rsid w:val="008A1734"/>
    <w:rsid w:val="00916336"/>
    <w:rsid w:val="00953015"/>
    <w:rsid w:val="009C2886"/>
    <w:rsid w:val="009D08B3"/>
    <w:rsid w:val="009D6A54"/>
    <w:rsid w:val="00A3091D"/>
    <w:rsid w:val="00A76B79"/>
    <w:rsid w:val="00AD51B6"/>
    <w:rsid w:val="00B425C9"/>
    <w:rsid w:val="00B73578"/>
    <w:rsid w:val="00BC61D4"/>
    <w:rsid w:val="00C047F4"/>
    <w:rsid w:val="00C1213E"/>
    <w:rsid w:val="00C644C0"/>
    <w:rsid w:val="00CD1004"/>
    <w:rsid w:val="00CD571E"/>
    <w:rsid w:val="00CF0D26"/>
    <w:rsid w:val="00D006A6"/>
    <w:rsid w:val="00D06618"/>
    <w:rsid w:val="00D11E3B"/>
    <w:rsid w:val="00D22080"/>
    <w:rsid w:val="00D3605E"/>
    <w:rsid w:val="00D7664A"/>
    <w:rsid w:val="00D86805"/>
    <w:rsid w:val="00DE6047"/>
    <w:rsid w:val="00E17272"/>
    <w:rsid w:val="00E25EE1"/>
    <w:rsid w:val="00E831F5"/>
    <w:rsid w:val="00EE269E"/>
    <w:rsid w:val="00EF4234"/>
    <w:rsid w:val="00F34898"/>
    <w:rsid w:val="00FD3741"/>
    <w:rsid w:val="00FE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70F"/>
  </w:style>
  <w:style w:type="table" w:styleId="Tabela-Siatka">
    <w:name w:val="Table Grid"/>
    <w:basedOn w:val="Standardowy"/>
    <w:uiPriority w:val="59"/>
    <w:rsid w:val="007A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70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A570F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570F"/>
    <w:rPr>
      <w:rFonts w:ascii="Consolas" w:hAnsi="Consolas" w:cs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A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570F"/>
  </w:style>
  <w:style w:type="table" w:styleId="a5">
    <w:name w:val="Table Grid"/>
    <w:basedOn w:val="a1"/>
    <w:uiPriority w:val="59"/>
    <w:rsid w:val="007A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570F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7A570F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a8">
    <w:name w:val="Текст Знак"/>
    <w:basedOn w:val="a0"/>
    <w:link w:val="a7"/>
    <w:uiPriority w:val="99"/>
    <w:rsid w:val="007A570F"/>
    <w:rPr>
      <w:rFonts w:ascii="Consolas" w:hAnsi="Consolas" w:cs="Consolas"/>
      <w:sz w:val="21"/>
      <w:szCs w:val="21"/>
      <w:lang w:eastAsia="pl-PL"/>
    </w:rPr>
  </w:style>
  <w:style w:type="paragraph" w:styleId="a9">
    <w:name w:val="Balloon Text"/>
    <w:basedOn w:val="a"/>
    <w:link w:val="aa"/>
    <w:uiPriority w:val="99"/>
    <w:semiHidden/>
    <w:unhideWhenUsed/>
    <w:rsid w:val="007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7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A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1096</Words>
  <Characters>6581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CPE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Wantoch-Rekowska</dc:creator>
  <cp:lastModifiedBy>Katarzyna Wantoch-Rekowska</cp:lastModifiedBy>
  <cp:revision>12</cp:revision>
  <cp:lastPrinted>2017-09-25T13:25:00Z</cp:lastPrinted>
  <dcterms:created xsi:type="dcterms:W3CDTF">2017-11-01T12:48:00Z</dcterms:created>
  <dcterms:modified xsi:type="dcterms:W3CDTF">2017-11-10T15:13:00Z</dcterms:modified>
</cp:coreProperties>
</file>