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10144"/>
      </w:tblGrid>
      <w:tr w:rsidR="007C69FB" w:rsidRPr="007C69FB" w:rsidTr="009768A0">
        <w:trPr>
          <w:trHeight w:val="1117"/>
        </w:trPr>
        <w:tc>
          <w:tcPr>
            <w:tcW w:w="10144" w:type="dxa"/>
            <w:shd w:val="clear" w:color="auto" w:fill="D9D9D9" w:themeFill="background1" w:themeFillShade="D9"/>
          </w:tcPr>
          <w:p w:rsidR="007C69FB" w:rsidRPr="007C69FB" w:rsidRDefault="007C69FB" w:rsidP="007C69FB">
            <w:pPr>
              <w:jc w:val="both"/>
              <w:rPr>
                <w:rFonts w:asciiTheme="minorHAnsi" w:hAnsiTheme="minorHAnsi"/>
                <w:b/>
                <w:sz w:val="21"/>
                <w:lang w:val="pl-PL"/>
              </w:rPr>
            </w:pPr>
            <w:r w:rsidRPr="007C69FB">
              <w:rPr>
                <w:rFonts w:asciiTheme="minorHAnsi" w:hAnsiTheme="minorHAnsi"/>
                <w:b/>
                <w:color w:val="000000"/>
                <w:sz w:val="21"/>
              </w:rPr>
              <w:t>1. Какое количество внешних аудиторских проверок должно быть проведено в течение периода реализации проекта? Будет ли нужно проводить отдельную проверку расходов каждого партнера (аудит на польской стороне и аудит на российской стороне)? Должны ли расходы на аудиторские проверки быть предусмотрены в бюджете на каждого партнера в проекте?</w:t>
            </w:r>
          </w:p>
        </w:tc>
      </w:tr>
      <w:tr w:rsidR="007C69FB" w:rsidRPr="007C69FB" w:rsidTr="009768A0">
        <w:trPr>
          <w:trHeight w:val="1915"/>
        </w:trPr>
        <w:tc>
          <w:tcPr>
            <w:tcW w:w="10144" w:type="dxa"/>
          </w:tcPr>
          <w:p w:rsidR="007C69FB" w:rsidRPr="007C69FB" w:rsidRDefault="007C69FB" w:rsidP="007C69FB">
            <w:pPr>
              <w:jc w:val="both"/>
              <w:rPr>
                <w:rFonts w:asciiTheme="minorHAnsi" w:hAnsiTheme="minorHAnsi"/>
                <w:sz w:val="21"/>
              </w:rPr>
            </w:pPr>
            <w:r w:rsidRPr="007C69FB">
              <w:rPr>
                <w:rFonts w:asciiTheme="minorHAnsi" w:hAnsiTheme="minorHAnsi"/>
                <w:sz w:val="21"/>
              </w:rPr>
              <w:t>Количество аудиторских проверок консолидированных отчетов в период реализации проекта будет зависеть от выбранного проектом варианта получения средств от Управляющего органа:</w:t>
            </w:r>
          </w:p>
          <w:p w:rsidR="007C69FB" w:rsidRPr="007C69FB" w:rsidRDefault="007C69FB" w:rsidP="007C69FB">
            <w:pPr>
              <w:pStyle w:val="ListParagraph"/>
              <w:numPr>
                <w:ilvl w:val="0"/>
                <w:numId w:val="4"/>
              </w:numPr>
              <w:jc w:val="both"/>
              <w:rPr>
                <w:rFonts w:asciiTheme="minorHAnsi" w:hAnsiTheme="minorHAnsi"/>
                <w:sz w:val="21"/>
              </w:rPr>
            </w:pPr>
            <w:r w:rsidRPr="007C69FB">
              <w:rPr>
                <w:rFonts w:asciiTheme="minorHAnsi" w:hAnsiTheme="minorHAnsi"/>
                <w:sz w:val="21"/>
              </w:rPr>
              <w:t>В случае выбора Варианта 1 (авансовый платеж макс. 35% + промежуточный платеж 50% + финальный платеж 15%) необходимо запланировать 2 аудита консолидированных отчетов (промежуточный и финальный отчеты);</w:t>
            </w:r>
          </w:p>
          <w:p w:rsidR="007C69FB" w:rsidRPr="007C69FB" w:rsidRDefault="007C69FB" w:rsidP="007C69FB">
            <w:pPr>
              <w:pStyle w:val="ListParagraph"/>
              <w:numPr>
                <w:ilvl w:val="0"/>
                <w:numId w:val="4"/>
              </w:numPr>
              <w:jc w:val="both"/>
              <w:rPr>
                <w:rFonts w:asciiTheme="minorHAnsi" w:hAnsiTheme="minorHAnsi"/>
                <w:sz w:val="21"/>
              </w:rPr>
            </w:pPr>
            <w:r w:rsidRPr="007C69FB">
              <w:rPr>
                <w:rFonts w:asciiTheme="minorHAnsi" w:hAnsiTheme="minorHAnsi"/>
                <w:sz w:val="21"/>
              </w:rPr>
              <w:t>В случае выбора Варианта 2 (финальный платеж 100%) необходимо запланировать 1 аудит консолидированного финального отчета.</w:t>
            </w:r>
          </w:p>
          <w:p w:rsidR="007C69FB" w:rsidRPr="007C69FB" w:rsidRDefault="007C69FB" w:rsidP="007C69FB">
            <w:pPr>
              <w:jc w:val="both"/>
              <w:rPr>
                <w:rFonts w:asciiTheme="minorHAnsi" w:hAnsiTheme="minorHAnsi"/>
                <w:sz w:val="21"/>
              </w:rPr>
            </w:pPr>
            <w:r w:rsidRPr="007C69FB">
              <w:rPr>
                <w:rFonts w:asciiTheme="minorHAnsi" w:hAnsiTheme="minorHAnsi"/>
                <w:sz w:val="21"/>
              </w:rPr>
              <w:t>Однако, до проведения аудиторской проверки консолидированного отчета, каждый партнер проекта, включая лидирующего бенефициара, должен подготовить индивидуальный отчет за определенный период, который будет проверен (каждый партнер выбирает своих аудиторов). Только после этого ведущий партнер должен будет подготовить консолидированный отчет, покрывающий все расходы (то есть от всех партнеров за определенный период), и предоставить его для проверки аудитору ведущего бенефициара. Затем консолидированный отчет, подтвержденный аудитором, должен быть проверен органами Программы. Таким образом, проектанты должны внимательно спланировать количество аудитов консолидированных и индивидуальных отчетов и предусмотреть соответствующие расходы в бюджет. Требования Программы по выбору польских и российских аудиторов будут оговорены позже.</w:t>
            </w:r>
          </w:p>
          <w:p w:rsidR="007C69FB" w:rsidRPr="007C69FB" w:rsidRDefault="007C69FB" w:rsidP="007C69FB">
            <w:pPr>
              <w:jc w:val="both"/>
              <w:rPr>
                <w:rFonts w:asciiTheme="minorHAnsi" w:hAnsiTheme="minorHAnsi" w:cs="Arial"/>
                <w:b/>
                <w:sz w:val="21"/>
              </w:rPr>
            </w:pPr>
          </w:p>
        </w:tc>
      </w:tr>
      <w:tr w:rsidR="007C69FB" w:rsidRPr="007C69FB" w:rsidTr="009768A0">
        <w:trPr>
          <w:trHeight w:val="544"/>
        </w:trPr>
        <w:tc>
          <w:tcPr>
            <w:tcW w:w="10144" w:type="dxa"/>
            <w:shd w:val="clear" w:color="auto" w:fill="D9D9D9" w:themeFill="background1" w:themeFillShade="D9"/>
          </w:tcPr>
          <w:p w:rsidR="007C69FB" w:rsidRPr="007C69FB" w:rsidRDefault="007C69FB" w:rsidP="007C69FB">
            <w:pPr>
              <w:jc w:val="both"/>
              <w:rPr>
                <w:rFonts w:asciiTheme="minorHAnsi" w:hAnsiTheme="minorHAnsi"/>
                <w:b/>
                <w:sz w:val="21"/>
                <w:lang w:val="pl-PL"/>
              </w:rPr>
            </w:pPr>
            <w:r w:rsidRPr="007C69FB">
              <w:rPr>
                <w:rFonts w:asciiTheme="minorHAnsi" w:hAnsiTheme="minorHAnsi"/>
                <w:b/>
                <w:sz w:val="21"/>
              </w:rPr>
              <w:t>2. В каком бюджетном разделе должны быть помещены расходы на технический надзор? Надо ли подписывать контракты с каждым строительным супервайзером и устанавливать сумму вознаграждения? Или можно выбрать строительного супервайзера, например, путем тендерной процедуры и уполномочить эту организацию проводить технический надзор?</w:t>
            </w:r>
          </w:p>
        </w:tc>
      </w:tr>
      <w:tr w:rsidR="007C69FB" w:rsidRPr="007C69FB" w:rsidTr="009768A0">
        <w:trPr>
          <w:trHeight w:val="1890"/>
        </w:trPr>
        <w:tc>
          <w:tcPr>
            <w:tcW w:w="10144" w:type="dxa"/>
          </w:tcPr>
          <w:p w:rsidR="007C69FB" w:rsidRPr="007C69FB" w:rsidRDefault="007C69FB" w:rsidP="007C69FB">
            <w:pPr>
              <w:jc w:val="both"/>
              <w:rPr>
                <w:rFonts w:asciiTheme="minorHAnsi" w:hAnsiTheme="minorHAnsi"/>
                <w:sz w:val="21"/>
              </w:rPr>
            </w:pPr>
            <w:r w:rsidRPr="007C69FB">
              <w:rPr>
                <w:rFonts w:asciiTheme="minorHAnsi" w:hAnsiTheme="minorHAnsi"/>
                <w:sz w:val="21"/>
              </w:rPr>
              <w:t xml:space="preserve">Функция строительного надзора может быть передана сторонней организации. Согласно определению инфраструктурного компонента (пункт </w:t>
            </w:r>
            <w:r w:rsidRPr="007C69FB">
              <w:rPr>
                <w:rFonts w:asciiTheme="minorHAnsi" w:hAnsiTheme="minorHAnsi"/>
                <w:i/>
                <w:sz w:val="21"/>
              </w:rPr>
              <w:t>2.3.2</w:t>
            </w:r>
            <w:r w:rsidRPr="007C69FB">
              <w:rPr>
                <w:rFonts w:asciiTheme="minorHAnsi" w:hAnsiTheme="minorHAnsi"/>
                <w:sz w:val="21"/>
              </w:rPr>
              <w:t xml:space="preserve"> </w:t>
            </w:r>
            <w:r w:rsidRPr="007C69FB">
              <w:rPr>
                <w:rFonts w:asciiTheme="minorHAnsi" w:hAnsiTheme="minorHAnsi"/>
                <w:i/>
                <w:sz w:val="21"/>
                <w:lang w:val="en-US"/>
              </w:rPr>
              <w:t>Character</w:t>
            </w:r>
            <w:r w:rsidRPr="007C69FB">
              <w:rPr>
                <w:rFonts w:asciiTheme="minorHAnsi" w:hAnsiTheme="minorHAnsi"/>
                <w:i/>
                <w:sz w:val="21"/>
              </w:rPr>
              <w:t xml:space="preserve"> </w:t>
            </w:r>
            <w:r w:rsidRPr="007C69FB">
              <w:rPr>
                <w:rFonts w:asciiTheme="minorHAnsi" w:hAnsiTheme="minorHAnsi"/>
                <w:i/>
                <w:sz w:val="21"/>
                <w:lang w:val="en-US"/>
              </w:rPr>
              <w:t>of</w:t>
            </w:r>
            <w:r w:rsidRPr="007C69FB">
              <w:rPr>
                <w:rFonts w:asciiTheme="minorHAnsi" w:hAnsiTheme="minorHAnsi"/>
                <w:i/>
                <w:sz w:val="21"/>
              </w:rPr>
              <w:t xml:space="preserve"> </w:t>
            </w:r>
            <w:r w:rsidRPr="007C69FB">
              <w:rPr>
                <w:rFonts w:asciiTheme="minorHAnsi" w:hAnsiTheme="minorHAnsi"/>
                <w:i/>
                <w:sz w:val="21"/>
                <w:lang w:val="en-US"/>
              </w:rPr>
              <w:t>projects</w:t>
            </w:r>
            <w:r w:rsidRPr="007C69FB">
              <w:rPr>
                <w:rFonts w:asciiTheme="minorHAnsi" w:hAnsiTheme="minorHAnsi"/>
                <w:sz w:val="21"/>
              </w:rPr>
              <w:t xml:space="preserve"> Руководства по Программе), инфраструктурный компонент включает в частности расходы на работы и услуги, относящиеся к (пере-)стройке, реставрации, проведению инфраструктуры и </w:t>
            </w:r>
            <w:r w:rsidRPr="007C69FB">
              <w:rPr>
                <w:rFonts w:asciiTheme="minorHAnsi" w:hAnsiTheme="minorHAnsi"/>
                <w:b/>
                <w:sz w:val="21"/>
              </w:rPr>
              <w:t xml:space="preserve">их техническому надзору </w:t>
            </w:r>
            <w:r w:rsidRPr="007C69FB">
              <w:rPr>
                <w:rFonts w:asciiTheme="minorHAnsi" w:hAnsiTheme="minorHAnsi"/>
                <w:sz w:val="21"/>
              </w:rPr>
              <w:t>(…). Таким образом, расходы, относящиеся к надзору над строительством должны быть включены в бюджетный раздел 6 «Инфраструктурный компонент». Процедуры закупки, относящиеся к этим расходам, должны проводиться согласно соответствующему национальному законодательству.</w:t>
            </w:r>
          </w:p>
          <w:p w:rsidR="007C69FB" w:rsidRPr="007C69FB" w:rsidRDefault="007C69FB" w:rsidP="007C69FB">
            <w:pPr>
              <w:jc w:val="both"/>
              <w:rPr>
                <w:rFonts w:asciiTheme="minorHAnsi" w:hAnsiTheme="minorHAnsi"/>
                <w:color w:val="000000" w:themeColor="text1"/>
                <w:sz w:val="21"/>
              </w:rPr>
            </w:pPr>
          </w:p>
        </w:tc>
      </w:tr>
      <w:tr w:rsidR="007C69FB" w:rsidRPr="007C69FB" w:rsidTr="009768A0">
        <w:trPr>
          <w:trHeight w:val="326"/>
        </w:trPr>
        <w:tc>
          <w:tcPr>
            <w:tcW w:w="10144" w:type="dxa"/>
            <w:shd w:val="clear" w:color="auto" w:fill="D9D9D9" w:themeFill="background1" w:themeFillShade="D9"/>
          </w:tcPr>
          <w:p w:rsidR="007C69FB" w:rsidRPr="007C69FB" w:rsidRDefault="007C69FB" w:rsidP="007C69FB">
            <w:pPr>
              <w:pStyle w:val="Zwykytekst"/>
              <w:jc w:val="both"/>
              <w:rPr>
                <w:rFonts w:asciiTheme="minorHAnsi" w:hAnsiTheme="minorHAnsi"/>
                <w:b/>
                <w:color w:val="000000"/>
                <w:szCs w:val="22"/>
                <w:lang w:val="pl-PL"/>
              </w:rPr>
            </w:pPr>
            <w:r w:rsidRPr="007C69FB">
              <w:rPr>
                <w:rFonts w:asciiTheme="minorHAnsi" w:hAnsiTheme="minorHAnsi"/>
                <w:b/>
                <w:color w:val="000000"/>
                <w:szCs w:val="22"/>
              </w:rPr>
              <w:t>3. Могут ли расходы на использование собственного транспортного средства в деловых поездках расцениваться как приемлемые в рамках проекта?</w:t>
            </w:r>
          </w:p>
        </w:tc>
      </w:tr>
      <w:tr w:rsidR="007C69FB" w:rsidRPr="007C69FB" w:rsidTr="009768A0">
        <w:trPr>
          <w:trHeight w:val="529"/>
        </w:trPr>
        <w:tc>
          <w:tcPr>
            <w:tcW w:w="10144" w:type="dxa"/>
          </w:tcPr>
          <w:p w:rsidR="007C69FB" w:rsidRPr="007C69FB" w:rsidRDefault="007C69FB" w:rsidP="007C69FB">
            <w:pPr>
              <w:pStyle w:val="Zwykytekst"/>
              <w:jc w:val="both"/>
              <w:rPr>
                <w:rFonts w:asciiTheme="minorHAnsi" w:hAnsiTheme="minorHAnsi"/>
                <w:color w:val="000000"/>
                <w:szCs w:val="22"/>
              </w:rPr>
            </w:pPr>
            <w:r w:rsidRPr="007C69FB">
              <w:rPr>
                <w:rFonts w:asciiTheme="minorHAnsi" w:hAnsiTheme="minorHAnsi"/>
                <w:color w:val="000000"/>
                <w:szCs w:val="22"/>
              </w:rPr>
              <w:t xml:space="preserve">должным образом обоснованных случаях, можно использовать собственные машины для деловых целей и покрывать понесенные расходы (напр. на страхование и топливо). Однако просим принять во внимание, что в пункте </w:t>
            </w:r>
            <w:r w:rsidRPr="007C69FB">
              <w:rPr>
                <w:rFonts w:asciiTheme="minorHAnsi" w:hAnsiTheme="minorHAnsi"/>
                <w:i/>
                <w:color w:val="000000"/>
                <w:szCs w:val="22"/>
              </w:rPr>
              <w:t xml:space="preserve">6.5.2 </w:t>
            </w:r>
            <w:r w:rsidRPr="007C69FB">
              <w:rPr>
                <w:rFonts w:asciiTheme="minorHAnsi" w:hAnsiTheme="minorHAnsi"/>
                <w:i/>
                <w:color w:val="000000"/>
                <w:szCs w:val="22"/>
                <w:lang w:val="en-US"/>
              </w:rPr>
              <w:t>Travel</w:t>
            </w:r>
            <w:r w:rsidRPr="007C69FB">
              <w:rPr>
                <w:rFonts w:asciiTheme="minorHAnsi" w:hAnsiTheme="minorHAnsi"/>
                <w:i/>
                <w:color w:val="000000"/>
                <w:szCs w:val="22"/>
              </w:rPr>
              <w:t xml:space="preserve"> </w:t>
            </w:r>
            <w:r w:rsidRPr="007C69FB">
              <w:rPr>
                <w:rFonts w:asciiTheme="minorHAnsi" w:hAnsiTheme="minorHAnsi"/>
                <w:i/>
                <w:color w:val="000000"/>
                <w:szCs w:val="22"/>
                <w:lang w:val="en-US"/>
              </w:rPr>
              <w:t>and</w:t>
            </w:r>
            <w:r w:rsidRPr="007C69FB">
              <w:rPr>
                <w:rFonts w:asciiTheme="minorHAnsi" w:hAnsiTheme="minorHAnsi"/>
                <w:i/>
                <w:color w:val="000000"/>
                <w:szCs w:val="22"/>
              </w:rPr>
              <w:t xml:space="preserve"> </w:t>
            </w:r>
            <w:r w:rsidRPr="007C69FB">
              <w:rPr>
                <w:rFonts w:asciiTheme="minorHAnsi" w:hAnsiTheme="minorHAnsi"/>
                <w:i/>
                <w:color w:val="000000"/>
                <w:szCs w:val="22"/>
                <w:lang w:val="en-US"/>
              </w:rPr>
              <w:t>subsistence</w:t>
            </w:r>
            <w:r w:rsidRPr="007C69FB">
              <w:rPr>
                <w:rFonts w:asciiTheme="minorHAnsi" w:hAnsiTheme="minorHAnsi"/>
                <w:i/>
                <w:color w:val="000000"/>
                <w:szCs w:val="22"/>
              </w:rPr>
              <w:t xml:space="preserve"> </w:t>
            </w:r>
            <w:r w:rsidRPr="007C69FB">
              <w:rPr>
                <w:rFonts w:asciiTheme="minorHAnsi" w:hAnsiTheme="minorHAnsi"/>
                <w:i/>
                <w:color w:val="000000"/>
                <w:szCs w:val="22"/>
                <w:lang w:val="en-US"/>
              </w:rPr>
              <w:t>costs</w:t>
            </w:r>
            <w:r w:rsidRPr="007C69FB">
              <w:rPr>
                <w:rFonts w:asciiTheme="minorHAnsi" w:hAnsiTheme="minorHAnsi"/>
                <w:color w:val="000000"/>
                <w:szCs w:val="22"/>
              </w:rPr>
              <w:t xml:space="preserve"> Руководства по Программе написано, что в бюджетный раздел 2 Расходы на проезд и суточные могут быть включены только расходы, понесенные персоналом бенефициаров.</w:t>
            </w:r>
          </w:p>
          <w:p w:rsidR="007C69FB" w:rsidRPr="007C69FB" w:rsidRDefault="007C69FB" w:rsidP="007C69FB">
            <w:pPr>
              <w:pStyle w:val="Zwykytekst"/>
              <w:jc w:val="both"/>
              <w:rPr>
                <w:rFonts w:asciiTheme="minorHAnsi" w:hAnsiTheme="minorHAnsi" w:cs="Arial"/>
                <w:b/>
                <w:szCs w:val="22"/>
              </w:rPr>
            </w:pPr>
          </w:p>
        </w:tc>
      </w:tr>
      <w:tr w:rsidR="007C69FB" w:rsidRPr="007C69FB" w:rsidTr="009768A0">
        <w:trPr>
          <w:trHeight w:val="272"/>
        </w:trPr>
        <w:tc>
          <w:tcPr>
            <w:tcW w:w="10144" w:type="dxa"/>
            <w:shd w:val="clear" w:color="auto" w:fill="D9D9D9" w:themeFill="background1" w:themeFillShade="D9"/>
          </w:tcPr>
          <w:p w:rsidR="007C69FB" w:rsidRPr="007C69FB" w:rsidRDefault="007C69FB" w:rsidP="007C69FB">
            <w:pPr>
              <w:jc w:val="both"/>
              <w:rPr>
                <w:rFonts w:asciiTheme="minorHAnsi" w:hAnsiTheme="minorHAnsi"/>
                <w:b/>
                <w:color w:val="000000"/>
                <w:sz w:val="21"/>
                <w:lang w:val="pl-PL"/>
              </w:rPr>
            </w:pPr>
            <w:r w:rsidRPr="007C69FB">
              <w:rPr>
                <w:rFonts w:asciiTheme="minorHAnsi" w:hAnsiTheme="minorHAnsi"/>
                <w:b/>
                <w:color w:val="000000"/>
                <w:sz w:val="21"/>
              </w:rPr>
              <w:t>4. Проект сфокусирован на реставрации нескольких исторических зданий для туристических целей. Кроме того, партнеры проекта хотели бы оборудовать зоны отдыха в своих городах. Они спрашивают, должно ли оборудование этих зон отдыха (относящихся к индикатору продукта: Количество новых и/или законсервированных/ модернизированных/ адаптированных</w:t>
            </w:r>
            <w:r w:rsidRPr="007C69FB">
              <w:rPr>
                <w:rFonts w:asciiTheme="minorHAnsi" w:hAnsiTheme="minorHAnsi"/>
                <w:b/>
                <w:bCs/>
                <w:sz w:val="21"/>
              </w:rPr>
              <w:t xml:space="preserve"> объектов туристической инфраструктуры, увеличивающих сохранность…) быть напрямую связано с историческим/культурным/природным наследием? Возможно ли, например, создать некий объект спортивной инфраструктуры, который будет расположен неподалеку от исторической зоны?</w:t>
            </w:r>
          </w:p>
        </w:tc>
      </w:tr>
      <w:tr w:rsidR="007C69FB" w:rsidRPr="007C69FB" w:rsidTr="009768A0">
        <w:trPr>
          <w:trHeight w:val="801"/>
        </w:trPr>
        <w:tc>
          <w:tcPr>
            <w:tcW w:w="10144" w:type="dxa"/>
          </w:tcPr>
          <w:p w:rsidR="007C69FB" w:rsidRPr="007C69FB" w:rsidRDefault="007C69FB" w:rsidP="007C69FB">
            <w:pPr>
              <w:jc w:val="both"/>
              <w:rPr>
                <w:rFonts w:asciiTheme="minorHAnsi" w:hAnsiTheme="minorHAnsi"/>
                <w:color w:val="000000"/>
                <w:sz w:val="21"/>
              </w:rPr>
            </w:pPr>
            <w:r w:rsidRPr="007C69FB">
              <w:rPr>
                <w:rFonts w:asciiTheme="minorHAnsi" w:hAnsiTheme="minorHAnsi"/>
                <w:color w:val="000000"/>
                <w:sz w:val="21"/>
              </w:rPr>
              <w:lastRenderedPageBreak/>
              <w:t xml:space="preserve">При разработке проектного предложения бенефициарам предлагается сверится с формулировкой Тематической цели и списком примерных мероприятий в пункте </w:t>
            </w:r>
            <w:r w:rsidRPr="007C69FB">
              <w:rPr>
                <w:rFonts w:asciiTheme="minorHAnsi" w:hAnsiTheme="minorHAnsi"/>
                <w:i/>
                <w:color w:val="000000"/>
                <w:sz w:val="21"/>
              </w:rPr>
              <w:t xml:space="preserve">1.3 </w:t>
            </w:r>
            <w:r w:rsidRPr="007C69FB">
              <w:rPr>
                <w:rFonts w:asciiTheme="minorHAnsi" w:hAnsiTheme="minorHAnsi"/>
                <w:i/>
                <w:color w:val="000000"/>
                <w:sz w:val="21"/>
                <w:lang w:val="en-US"/>
              </w:rPr>
              <w:t>Thematic</w:t>
            </w:r>
            <w:r w:rsidRPr="007C69FB">
              <w:rPr>
                <w:rFonts w:asciiTheme="minorHAnsi" w:hAnsiTheme="minorHAnsi"/>
                <w:i/>
                <w:color w:val="000000"/>
                <w:sz w:val="21"/>
              </w:rPr>
              <w:t xml:space="preserve"> </w:t>
            </w:r>
            <w:r w:rsidRPr="007C69FB">
              <w:rPr>
                <w:rFonts w:asciiTheme="minorHAnsi" w:hAnsiTheme="minorHAnsi"/>
                <w:i/>
                <w:color w:val="000000"/>
                <w:sz w:val="21"/>
                <w:lang w:val="en-US"/>
              </w:rPr>
              <w:t>objectives</w:t>
            </w:r>
            <w:r w:rsidRPr="007C69FB">
              <w:rPr>
                <w:rFonts w:asciiTheme="minorHAnsi" w:hAnsiTheme="minorHAnsi"/>
                <w:i/>
                <w:color w:val="000000"/>
                <w:sz w:val="21"/>
              </w:rPr>
              <w:t xml:space="preserve"> </w:t>
            </w:r>
            <w:r w:rsidRPr="007C69FB">
              <w:rPr>
                <w:rFonts w:asciiTheme="minorHAnsi" w:hAnsiTheme="minorHAnsi"/>
                <w:i/>
                <w:color w:val="000000"/>
                <w:sz w:val="21"/>
                <w:lang w:val="en-US"/>
              </w:rPr>
              <w:t>and</w:t>
            </w:r>
            <w:r w:rsidRPr="007C69FB">
              <w:rPr>
                <w:rFonts w:asciiTheme="minorHAnsi" w:hAnsiTheme="minorHAnsi"/>
                <w:i/>
                <w:color w:val="000000"/>
                <w:sz w:val="21"/>
              </w:rPr>
              <w:t xml:space="preserve"> </w:t>
            </w:r>
            <w:r w:rsidRPr="007C69FB">
              <w:rPr>
                <w:rFonts w:asciiTheme="minorHAnsi" w:hAnsiTheme="minorHAnsi"/>
                <w:i/>
                <w:color w:val="000000"/>
                <w:sz w:val="21"/>
                <w:lang w:val="en-US"/>
              </w:rPr>
              <w:t>priorities</w:t>
            </w:r>
            <w:r w:rsidRPr="007C69FB">
              <w:rPr>
                <w:rFonts w:asciiTheme="minorHAnsi" w:hAnsiTheme="minorHAnsi"/>
                <w:color w:val="000000"/>
                <w:sz w:val="21"/>
              </w:rPr>
              <w:t xml:space="preserve"> Руководства по Программе. Также важно помнить, что проект и его действия должны быть взаимосвязаны. Таким образом, необходимо сконцентрироваться на связи запланированных мероприятий по их содержанию, а не по месту физического расположения.</w:t>
            </w:r>
          </w:p>
          <w:p w:rsidR="007C69FB" w:rsidRPr="007C69FB" w:rsidRDefault="007C69FB" w:rsidP="007C69FB">
            <w:pPr>
              <w:jc w:val="both"/>
              <w:rPr>
                <w:rFonts w:asciiTheme="minorHAnsi" w:hAnsiTheme="minorHAnsi"/>
                <w:color w:val="000000" w:themeColor="text1"/>
                <w:sz w:val="21"/>
              </w:rPr>
            </w:pPr>
          </w:p>
        </w:tc>
      </w:tr>
      <w:tr w:rsidR="007C69FB" w:rsidRPr="007C69FB" w:rsidTr="009768A0">
        <w:trPr>
          <w:trHeight w:val="386"/>
        </w:trPr>
        <w:tc>
          <w:tcPr>
            <w:tcW w:w="10144" w:type="dxa"/>
            <w:shd w:val="clear" w:color="auto" w:fill="D9D9D9" w:themeFill="background1" w:themeFillShade="D9"/>
          </w:tcPr>
          <w:p w:rsidR="007C69FB" w:rsidRPr="007C69FB" w:rsidRDefault="007C69FB" w:rsidP="007C69FB">
            <w:pPr>
              <w:pStyle w:val="Zwykytekst"/>
              <w:jc w:val="both"/>
              <w:rPr>
                <w:rFonts w:asciiTheme="minorHAnsi" w:hAnsiTheme="minorHAnsi"/>
                <w:b/>
                <w:color w:val="000000"/>
                <w:szCs w:val="22"/>
                <w:lang w:val="pl-PL"/>
              </w:rPr>
            </w:pPr>
            <w:r w:rsidRPr="007C69FB">
              <w:rPr>
                <w:rFonts w:asciiTheme="minorHAnsi" w:hAnsiTheme="minorHAnsi"/>
                <w:b/>
                <w:color w:val="000000"/>
                <w:szCs w:val="22"/>
              </w:rPr>
              <w:t>5. Какой курс конвертации должен применяться для заполнения бюджета проекта? Должны ли бенефициарами применяться какие-либо твердые валютные курсы, когда они планируют свои расходы (вероятнее всего, сначала оценивая их в национальной валюте и затем разрабатывая бюджет проекта в евро)?</w:t>
            </w:r>
          </w:p>
        </w:tc>
      </w:tr>
      <w:tr w:rsidR="007C69FB" w:rsidRPr="007C69FB" w:rsidTr="009768A0">
        <w:trPr>
          <w:trHeight w:val="544"/>
        </w:trPr>
        <w:tc>
          <w:tcPr>
            <w:tcW w:w="10144" w:type="dxa"/>
          </w:tcPr>
          <w:p w:rsidR="007C69FB" w:rsidRPr="007C69FB" w:rsidRDefault="007C69FB" w:rsidP="007C69FB">
            <w:pPr>
              <w:pStyle w:val="Zwykytekst"/>
              <w:jc w:val="both"/>
              <w:rPr>
                <w:rFonts w:asciiTheme="minorHAnsi" w:hAnsiTheme="minorHAnsi"/>
                <w:color w:val="000000"/>
                <w:szCs w:val="22"/>
              </w:rPr>
            </w:pPr>
            <w:r w:rsidRPr="007C69FB">
              <w:rPr>
                <w:rFonts w:asciiTheme="minorHAnsi" w:hAnsiTheme="minorHAnsi"/>
                <w:color w:val="000000"/>
                <w:szCs w:val="22"/>
              </w:rPr>
              <w:t xml:space="preserve">Помня о том, что бенефициары берут на себя риски связанные с валютными рисками, и о том, что курсовые разницы не являются допустимыми расходами, необходимо установить курс конвертации злотых и рублей в евро наиболее безопасным и реалистичным образом. У бенефициаров есть возможность выбрать наиболее подходящие валютные курсы самостоятельно. Они могут использовать курсы, опубликованные на сайте </w:t>
            </w:r>
            <w:r w:rsidRPr="007C69FB">
              <w:rPr>
                <w:rFonts w:asciiTheme="minorHAnsi" w:hAnsiTheme="minorHAnsi"/>
                <w:color w:val="000000"/>
                <w:szCs w:val="22"/>
                <w:lang w:val="en-US"/>
              </w:rPr>
              <w:t>INFOREURO</w:t>
            </w:r>
            <w:r w:rsidRPr="007C69FB">
              <w:rPr>
                <w:rFonts w:asciiTheme="minorHAnsi" w:hAnsiTheme="minorHAnsi"/>
                <w:color w:val="000000"/>
                <w:szCs w:val="22"/>
              </w:rPr>
              <w:t>, но это не является обязательным.</w:t>
            </w:r>
          </w:p>
          <w:p w:rsidR="007C69FB" w:rsidRPr="007C69FB" w:rsidRDefault="007C69FB" w:rsidP="007C69FB">
            <w:pPr>
              <w:pStyle w:val="Zwykytekst"/>
              <w:jc w:val="both"/>
              <w:rPr>
                <w:rFonts w:asciiTheme="minorHAnsi" w:eastAsia="Calibri" w:hAnsiTheme="minorHAnsi" w:cs="Arial"/>
                <w:szCs w:val="22"/>
              </w:rPr>
            </w:pPr>
          </w:p>
        </w:tc>
      </w:tr>
      <w:tr w:rsidR="007C69FB" w:rsidRPr="007C69FB" w:rsidTr="009768A0">
        <w:trPr>
          <w:trHeight w:val="272"/>
        </w:trPr>
        <w:tc>
          <w:tcPr>
            <w:tcW w:w="10144" w:type="dxa"/>
            <w:shd w:val="clear" w:color="auto" w:fill="D9D9D9" w:themeFill="background1" w:themeFillShade="D9"/>
          </w:tcPr>
          <w:p w:rsidR="007C69FB" w:rsidRPr="007C69FB" w:rsidRDefault="007C69FB" w:rsidP="007C69FB">
            <w:pPr>
              <w:pStyle w:val="Zwykytekst"/>
              <w:jc w:val="both"/>
              <w:rPr>
                <w:rFonts w:asciiTheme="minorHAnsi" w:hAnsiTheme="minorHAnsi"/>
                <w:b/>
                <w:color w:val="000000"/>
                <w:szCs w:val="22"/>
                <w:lang w:val="pl-PL"/>
              </w:rPr>
            </w:pPr>
            <w:r w:rsidRPr="007C69FB">
              <w:rPr>
                <w:rFonts w:asciiTheme="minorHAnsi" w:hAnsiTheme="minorHAnsi"/>
                <w:b/>
                <w:color w:val="000000"/>
                <w:szCs w:val="22"/>
              </w:rPr>
              <w:t>6. Можно ли разработать в рамках проекта некие документы (напр. научное исследование), которые будут относиться к территории вне Программы?</w:t>
            </w:r>
          </w:p>
        </w:tc>
      </w:tr>
      <w:tr w:rsidR="007C69FB" w:rsidRPr="007C69FB" w:rsidTr="009768A0">
        <w:trPr>
          <w:trHeight w:val="257"/>
        </w:trPr>
        <w:tc>
          <w:tcPr>
            <w:tcW w:w="10144" w:type="dxa"/>
          </w:tcPr>
          <w:p w:rsidR="007C69FB" w:rsidRPr="007C69FB" w:rsidRDefault="007C69FB" w:rsidP="007C69FB">
            <w:pPr>
              <w:pStyle w:val="Zwykytekst"/>
              <w:jc w:val="both"/>
              <w:rPr>
                <w:rFonts w:asciiTheme="minorHAnsi" w:hAnsiTheme="minorHAnsi"/>
                <w:color w:val="000000"/>
                <w:szCs w:val="22"/>
              </w:rPr>
            </w:pPr>
            <w:r w:rsidRPr="007C69FB">
              <w:rPr>
                <w:rFonts w:asciiTheme="minorHAnsi" w:hAnsiTheme="minorHAnsi"/>
                <w:color w:val="000000"/>
                <w:szCs w:val="22"/>
              </w:rPr>
              <w:t>В соответствие с правилами Программы, все проекты должны реализовываться в рамках Программной территории. Однако, в исключительных случаях, проекты могут частично реализовываться вне территории, покрываемой Программой, при условии выполнения всех нижеследующих правил:</w:t>
            </w:r>
          </w:p>
          <w:p w:rsidR="007C69FB" w:rsidRPr="007C69FB" w:rsidRDefault="007C69FB" w:rsidP="007C69FB">
            <w:pPr>
              <w:pStyle w:val="Zwykytekst"/>
              <w:numPr>
                <w:ilvl w:val="0"/>
                <w:numId w:val="5"/>
              </w:numPr>
              <w:jc w:val="both"/>
              <w:rPr>
                <w:rFonts w:asciiTheme="minorHAnsi" w:hAnsiTheme="minorHAnsi"/>
                <w:color w:val="000000"/>
                <w:szCs w:val="22"/>
              </w:rPr>
            </w:pPr>
            <w:r w:rsidRPr="007C69FB">
              <w:rPr>
                <w:rFonts w:asciiTheme="minorHAnsi" w:hAnsiTheme="minorHAnsi"/>
                <w:color w:val="000000"/>
                <w:szCs w:val="22"/>
              </w:rPr>
              <w:t>проекты необходимы для достижения целей Программы и приносят пользу Программной территории;</w:t>
            </w:r>
          </w:p>
          <w:p w:rsidR="007C69FB" w:rsidRPr="007C69FB" w:rsidRDefault="007C69FB" w:rsidP="007C69FB">
            <w:pPr>
              <w:pStyle w:val="Zwykytekst"/>
              <w:numPr>
                <w:ilvl w:val="0"/>
                <w:numId w:val="5"/>
              </w:numPr>
              <w:jc w:val="both"/>
              <w:rPr>
                <w:rFonts w:asciiTheme="minorHAnsi" w:hAnsiTheme="minorHAnsi" w:cs="Calibri"/>
                <w:color w:val="000000"/>
                <w:szCs w:val="22"/>
              </w:rPr>
            </w:pPr>
            <w:r w:rsidRPr="007C69FB">
              <w:rPr>
                <w:rFonts w:asciiTheme="minorHAnsi" w:hAnsiTheme="minorHAnsi" w:cs="Calibri"/>
                <w:color w:val="000000"/>
                <w:szCs w:val="22"/>
              </w:rPr>
              <w:t xml:space="preserve">общая сумма, полученная от Программы на реализацию мероприятий вне Программной территории, </w:t>
            </w:r>
            <w:r w:rsidRPr="007C69FB">
              <w:rPr>
                <w:rFonts w:asciiTheme="minorHAnsi" w:hAnsiTheme="minorHAnsi" w:cs="Calibri"/>
                <w:szCs w:val="22"/>
              </w:rPr>
              <w:t>не превышает 10% общего софинансирования бюджета Программы Европейским Союзом</w:t>
            </w:r>
            <w:r w:rsidRPr="007C69FB">
              <w:rPr>
                <w:rFonts w:asciiTheme="minorHAnsi" w:hAnsiTheme="minorHAnsi" w:cs="Calibri"/>
                <w:color w:val="000000"/>
                <w:szCs w:val="22"/>
              </w:rPr>
              <w:t>;</w:t>
            </w:r>
          </w:p>
          <w:p w:rsidR="007C69FB" w:rsidRPr="007C69FB" w:rsidRDefault="007C69FB" w:rsidP="007C69FB">
            <w:pPr>
              <w:pStyle w:val="Zwykytekst"/>
              <w:numPr>
                <w:ilvl w:val="0"/>
                <w:numId w:val="5"/>
              </w:numPr>
              <w:jc w:val="both"/>
              <w:rPr>
                <w:rFonts w:asciiTheme="minorHAnsi" w:hAnsiTheme="minorHAnsi" w:cs="Calibri"/>
                <w:color w:val="000000"/>
                <w:szCs w:val="22"/>
              </w:rPr>
            </w:pPr>
            <w:r w:rsidRPr="007C69FB">
              <w:rPr>
                <w:rFonts w:asciiTheme="minorHAnsi" w:hAnsiTheme="minorHAnsi" w:cs="Calibri"/>
                <w:szCs w:val="22"/>
              </w:rPr>
              <w:t>инвестиционная и инфраструктурная деятельность может реализовываться только на территории Программы</w:t>
            </w:r>
            <w:r w:rsidRPr="007C69FB">
              <w:rPr>
                <w:rFonts w:asciiTheme="minorHAnsi" w:hAnsiTheme="minorHAnsi" w:cs="Calibri"/>
                <w:color w:val="000000"/>
                <w:szCs w:val="22"/>
              </w:rPr>
              <w:t>.</w:t>
            </w:r>
          </w:p>
          <w:p w:rsidR="007C69FB" w:rsidRPr="007C69FB" w:rsidRDefault="007C69FB" w:rsidP="007C69FB">
            <w:pPr>
              <w:jc w:val="both"/>
              <w:rPr>
                <w:rFonts w:asciiTheme="minorHAnsi" w:hAnsiTheme="minorHAnsi" w:cs="Arial"/>
                <w:sz w:val="21"/>
              </w:rPr>
            </w:pPr>
          </w:p>
        </w:tc>
      </w:tr>
      <w:tr w:rsidR="007C69FB" w:rsidRPr="007C69FB" w:rsidTr="009768A0">
        <w:trPr>
          <w:trHeight w:val="272"/>
        </w:trPr>
        <w:tc>
          <w:tcPr>
            <w:tcW w:w="10144" w:type="dxa"/>
            <w:shd w:val="clear" w:color="auto" w:fill="D9D9D9" w:themeFill="background1" w:themeFillShade="D9"/>
          </w:tcPr>
          <w:p w:rsidR="007C69FB" w:rsidRPr="007C69FB" w:rsidRDefault="007C69FB" w:rsidP="007C69FB">
            <w:pPr>
              <w:jc w:val="both"/>
              <w:rPr>
                <w:rFonts w:asciiTheme="minorHAnsi" w:hAnsiTheme="minorHAnsi"/>
                <w:b/>
                <w:sz w:val="21"/>
                <w:lang w:val="pl-PL"/>
              </w:rPr>
            </w:pPr>
            <w:r w:rsidRPr="007C69FB">
              <w:rPr>
                <w:rFonts w:asciiTheme="minorHAnsi" w:hAnsiTheme="minorHAnsi"/>
                <w:b/>
                <w:sz w:val="21"/>
              </w:rPr>
              <w:t>7. Может ли организация, расположенная вне территории Программы, принимать участие в проекте?</w:t>
            </w:r>
          </w:p>
        </w:tc>
      </w:tr>
      <w:tr w:rsidR="007C69FB" w:rsidRPr="007C69FB" w:rsidTr="009768A0">
        <w:trPr>
          <w:trHeight w:val="272"/>
        </w:trPr>
        <w:tc>
          <w:tcPr>
            <w:tcW w:w="10144" w:type="dxa"/>
          </w:tcPr>
          <w:p w:rsidR="007C69FB" w:rsidRPr="007C69FB" w:rsidRDefault="007C69FB" w:rsidP="007C69FB">
            <w:pPr>
              <w:jc w:val="both"/>
              <w:rPr>
                <w:rFonts w:asciiTheme="minorHAnsi" w:hAnsiTheme="minorHAnsi"/>
                <w:sz w:val="21"/>
              </w:rPr>
            </w:pPr>
            <w:r w:rsidRPr="007C69FB">
              <w:rPr>
                <w:rFonts w:asciiTheme="minorHAnsi" w:hAnsiTheme="minorHAnsi"/>
                <w:sz w:val="21"/>
              </w:rPr>
              <w:t>Да, это возможно. Однако, такая организация должна выполнить ряд условий. В дополнение к общим требованиям допустимости партнеров к участию в проектах Программы, все нижеследующие условия должны быть выполнены:</w:t>
            </w:r>
          </w:p>
          <w:p w:rsidR="007C69FB" w:rsidRPr="007C69FB" w:rsidRDefault="007C69FB" w:rsidP="007C69FB">
            <w:pPr>
              <w:pStyle w:val="ListParagraph"/>
              <w:numPr>
                <w:ilvl w:val="0"/>
                <w:numId w:val="6"/>
              </w:numPr>
              <w:jc w:val="both"/>
              <w:rPr>
                <w:rFonts w:asciiTheme="minorHAnsi" w:hAnsiTheme="minorHAnsi"/>
                <w:sz w:val="21"/>
              </w:rPr>
            </w:pPr>
            <w:r w:rsidRPr="007C69FB">
              <w:rPr>
                <w:rFonts w:asciiTheme="minorHAnsi" w:hAnsiTheme="minorHAnsi"/>
                <w:sz w:val="21"/>
              </w:rPr>
              <w:t>она учреждена в Польше или России;</w:t>
            </w:r>
          </w:p>
          <w:p w:rsidR="007C69FB" w:rsidRPr="007C69FB" w:rsidRDefault="007C69FB" w:rsidP="007C69FB">
            <w:pPr>
              <w:pStyle w:val="ListParagraph"/>
              <w:numPr>
                <w:ilvl w:val="0"/>
                <w:numId w:val="6"/>
              </w:numPr>
              <w:jc w:val="both"/>
              <w:rPr>
                <w:rFonts w:asciiTheme="minorHAnsi" w:hAnsiTheme="minorHAnsi" w:cs="Calibri"/>
                <w:sz w:val="21"/>
              </w:rPr>
            </w:pPr>
            <w:r w:rsidRPr="007C69FB">
              <w:rPr>
                <w:rFonts w:asciiTheme="minorHAnsi" w:hAnsiTheme="minorHAnsi" w:cs="Calibri"/>
                <w:sz w:val="21"/>
              </w:rPr>
              <w:t>ее участие необходимо по природе и целям проекта, а также нужно для его эффективной реализации;</w:t>
            </w:r>
          </w:p>
          <w:p w:rsidR="007C69FB" w:rsidRPr="007C69FB" w:rsidRDefault="007C69FB" w:rsidP="007C69FB">
            <w:pPr>
              <w:pStyle w:val="ListParagraph"/>
              <w:numPr>
                <w:ilvl w:val="0"/>
                <w:numId w:val="6"/>
              </w:numPr>
              <w:jc w:val="both"/>
              <w:rPr>
                <w:rFonts w:asciiTheme="minorHAnsi" w:hAnsiTheme="minorHAnsi" w:cs="Calibri"/>
                <w:sz w:val="21"/>
              </w:rPr>
            </w:pPr>
            <w:r w:rsidRPr="007C69FB">
              <w:rPr>
                <w:rFonts w:asciiTheme="minorHAnsi" w:hAnsiTheme="minorHAnsi" w:cs="Calibri"/>
                <w:sz w:val="21"/>
              </w:rPr>
              <w:t>общий объем финансирования, выделяемого в рамках бюджета проекта данному типу бенефициаров, не превышает 20% общей суммы приемлемых расходов.</w:t>
            </w:r>
          </w:p>
          <w:p w:rsidR="007C69FB" w:rsidRPr="007C69FB" w:rsidRDefault="007C69FB" w:rsidP="007C69FB">
            <w:pPr>
              <w:jc w:val="both"/>
              <w:rPr>
                <w:rFonts w:asciiTheme="minorHAnsi" w:hAnsiTheme="minorHAnsi" w:cs="Arial"/>
                <w:sz w:val="21"/>
              </w:rPr>
            </w:pPr>
          </w:p>
        </w:tc>
      </w:tr>
      <w:tr w:rsidR="007C69FB" w:rsidRPr="007C69FB" w:rsidTr="009768A0">
        <w:trPr>
          <w:trHeight w:val="328"/>
        </w:trPr>
        <w:tc>
          <w:tcPr>
            <w:tcW w:w="10144" w:type="dxa"/>
            <w:shd w:val="clear" w:color="auto" w:fill="D9D9D9" w:themeFill="background1" w:themeFillShade="D9"/>
          </w:tcPr>
          <w:p w:rsidR="007C69FB" w:rsidRPr="007C69FB" w:rsidRDefault="007C69FB" w:rsidP="007C69FB">
            <w:pPr>
              <w:jc w:val="both"/>
              <w:rPr>
                <w:rFonts w:asciiTheme="minorHAnsi" w:hAnsiTheme="minorHAnsi"/>
                <w:b/>
                <w:sz w:val="21"/>
                <w:lang w:val="pl-PL"/>
              </w:rPr>
            </w:pPr>
            <w:r w:rsidRPr="007C69FB">
              <w:rPr>
                <w:rFonts w:asciiTheme="minorHAnsi" w:hAnsiTheme="minorHAnsi"/>
                <w:b/>
                <w:sz w:val="21"/>
              </w:rPr>
              <w:t>8. Можно ли расценивать фонды, полученные, например, в рамках неких внутренних соглашений между муниципалитетами, в качестве собственного вклада партнера?</w:t>
            </w:r>
          </w:p>
        </w:tc>
      </w:tr>
      <w:tr w:rsidR="007C69FB" w:rsidRPr="007C69FB" w:rsidTr="009768A0">
        <w:trPr>
          <w:trHeight w:val="257"/>
        </w:trPr>
        <w:tc>
          <w:tcPr>
            <w:tcW w:w="10144" w:type="dxa"/>
          </w:tcPr>
          <w:p w:rsidR="007C69FB" w:rsidRPr="007C69FB" w:rsidRDefault="007C69FB" w:rsidP="007C69FB">
            <w:pPr>
              <w:jc w:val="both"/>
              <w:rPr>
                <w:rFonts w:asciiTheme="minorHAnsi" w:hAnsiTheme="minorHAnsi"/>
                <w:sz w:val="21"/>
              </w:rPr>
            </w:pPr>
            <w:r w:rsidRPr="007C69FB">
              <w:rPr>
                <w:rFonts w:asciiTheme="minorHAnsi" w:hAnsiTheme="minorHAnsi"/>
                <w:sz w:val="21"/>
              </w:rPr>
              <w:t xml:space="preserve">Не обязательно прикладывать внутренние документы к форме заявки для того, чтобы показать состав собственного софинансирования бенефициара. В пункте </w:t>
            </w:r>
            <w:r w:rsidRPr="007C69FB">
              <w:rPr>
                <w:rFonts w:asciiTheme="minorHAnsi" w:hAnsiTheme="minorHAnsi"/>
                <w:i/>
                <w:sz w:val="21"/>
              </w:rPr>
              <w:t xml:space="preserve">9.4/10.4 </w:t>
            </w:r>
            <w:r w:rsidRPr="007C69FB">
              <w:rPr>
                <w:rFonts w:asciiTheme="minorHAnsi" w:hAnsiTheme="minorHAnsi"/>
                <w:i/>
                <w:sz w:val="21"/>
                <w:lang w:val="en-US"/>
              </w:rPr>
              <w:t>Sources</w:t>
            </w:r>
            <w:r w:rsidRPr="007C69FB">
              <w:rPr>
                <w:rFonts w:asciiTheme="minorHAnsi" w:hAnsiTheme="minorHAnsi"/>
                <w:i/>
                <w:sz w:val="21"/>
              </w:rPr>
              <w:t xml:space="preserve"> </w:t>
            </w:r>
            <w:r w:rsidRPr="007C69FB">
              <w:rPr>
                <w:rFonts w:asciiTheme="minorHAnsi" w:hAnsiTheme="minorHAnsi"/>
                <w:i/>
                <w:sz w:val="21"/>
                <w:lang w:val="en-US"/>
              </w:rPr>
              <w:t>of</w:t>
            </w:r>
            <w:r w:rsidRPr="007C69FB">
              <w:rPr>
                <w:rFonts w:asciiTheme="minorHAnsi" w:hAnsiTheme="minorHAnsi"/>
                <w:i/>
                <w:sz w:val="21"/>
              </w:rPr>
              <w:t xml:space="preserve"> </w:t>
            </w:r>
            <w:r w:rsidRPr="007C69FB">
              <w:rPr>
                <w:rFonts w:asciiTheme="minorHAnsi" w:hAnsiTheme="minorHAnsi"/>
                <w:i/>
                <w:sz w:val="21"/>
                <w:lang w:val="en-US"/>
              </w:rPr>
              <w:t>financing</w:t>
            </w:r>
            <w:r w:rsidRPr="007C69FB">
              <w:rPr>
                <w:rFonts w:asciiTheme="minorHAnsi" w:hAnsiTheme="minorHAnsi"/>
                <w:sz w:val="21"/>
              </w:rPr>
              <w:t xml:space="preserve"> в форме заявки бенефициарам предлагается описать каким образом обеспечивается их собственное софинансирование, но пути обеспечения этих фондов являются личным делом каждого бенефициара.</w:t>
            </w:r>
            <w:bookmarkStart w:id="0" w:name="_GoBack"/>
            <w:bookmarkEnd w:id="0"/>
          </w:p>
          <w:p w:rsidR="007C69FB" w:rsidRPr="007C69FB" w:rsidRDefault="007C69FB" w:rsidP="007C69FB">
            <w:pPr>
              <w:jc w:val="both"/>
              <w:rPr>
                <w:rFonts w:asciiTheme="minorHAnsi" w:hAnsiTheme="minorHAnsi" w:cs="Arial"/>
                <w:sz w:val="21"/>
              </w:rPr>
            </w:pPr>
          </w:p>
        </w:tc>
      </w:tr>
    </w:tbl>
    <w:p w:rsidR="000A3424" w:rsidRPr="007C69FB" w:rsidRDefault="000A3424" w:rsidP="007C69FB">
      <w:pPr>
        <w:jc w:val="both"/>
        <w:rPr>
          <w:rFonts w:asciiTheme="minorHAnsi" w:hAnsiTheme="minorHAnsi"/>
          <w:sz w:val="21"/>
          <w:lang w:val="pl-PL"/>
        </w:rPr>
      </w:pPr>
    </w:p>
    <w:sectPr w:rsidR="000A3424" w:rsidRPr="007C69FB" w:rsidSect="00A404A7">
      <w:headerReference w:type="default" r:id="rId5"/>
      <w:footerReference w:type="default" r:id="rI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szCs w:val="21"/>
      </w:rPr>
      <w:id w:val="1576695860"/>
      <w:docPartObj>
        <w:docPartGallery w:val="Page Numbers (Bottom of Page)"/>
        <w:docPartUnique/>
      </w:docPartObj>
    </w:sdtPr>
    <w:sdtEndPr/>
    <w:sdtContent>
      <w:p w:rsidR="00303A58" w:rsidRPr="007C69FB" w:rsidRDefault="007C69FB">
        <w:pPr>
          <w:pStyle w:val="Stopka"/>
          <w:jc w:val="right"/>
          <w:rPr>
            <w:sz w:val="21"/>
            <w:szCs w:val="21"/>
          </w:rPr>
        </w:pPr>
        <w:r w:rsidRPr="007C69FB">
          <w:rPr>
            <w:sz w:val="21"/>
            <w:szCs w:val="21"/>
          </w:rPr>
          <w:fldChar w:fldCharType="begin"/>
        </w:r>
        <w:r w:rsidRPr="007C69FB">
          <w:rPr>
            <w:sz w:val="21"/>
            <w:szCs w:val="21"/>
          </w:rPr>
          <w:instrText xml:space="preserve"> PAGE   \* MERGEFORMAT </w:instrText>
        </w:r>
        <w:r w:rsidRPr="007C69FB">
          <w:rPr>
            <w:sz w:val="21"/>
            <w:szCs w:val="21"/>
          </w:rPr>
          <w:fldChar w:fldCharType="separate"/>
        </w:r>
        <w:r>
          <w:rPr>
            <w:noProof/>
            <w:sz w:val="21"/>
            <w:szCs w:val="21"/>
          </w:rPr>
          <w:t>2</w:t>
        </w:r>
        <w:r w:rsidRPr="007C69FB">
          <w:rPr>
            <w:sz w:val="21"/>
            <w:szCs w:val="21"/>
          </w:rPr>
          <w:fldChar w:fldCharType="end"/>
        </w:r>
      </w:p>
    </w:sdtContent>
  </w:sdt>
  <w:p w:rsidR="00303A58" w:rsidRPr="007C69FB" w:rsidRDefault="007C69FB">
    <w:pPr>
      <w:pStyle w:val="Stopka"/>
      <w:rPr>
        <w:sz w:val="21"/>
        <w:szCs w:val="21"/>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58" w:rsidRPr="007C69FB" w:rsidRDefault="007C69FB" w:rsidP="00A404A7">
    <w:pPr>
      <w:rPr>
        <w:b/>
        <w:color w:val="548DD4" w:themeColor="text2" w:themeTint="99"/>
        <w:sz w:val="27"/>
        <w:szCs w:val="27"/>
      </w:rPr>
    </w:pPr>
    <w:r w:rsidRPr="007C69FB">
      <w:rPr>
        <w:noProof/>
        <w:sz w:val="21"/>
        <w:szCs w:val="21"/>
        <w:lang w:eastAsia="pl-PL"/>
      </w:rPr>
      <w:drawing>
        <wp:inline distT="0" distB="0" distL="0" distR="0">
          <wp:extent cx="2714625" cy="689283"/>
          <wp:effectExtent l="19050" t="0" r="9525" b="0"/>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689283"/>
                  </a:xfrm>
                  <a:prstGeom prst="rect">
                    <a:avLst/>
                  </a:prstGeom>
                  <a:noFill/>
                  <a:ln>
                    <a:noFill/>
                  </a:ln>
                </pic:spPr>
              </pic:pic>
            </a:graphicData>
          </a:graphic>
        </wp:inline>
      </w:drawing>
    </w:r>
    <w:r w:rsidRPr="007C69FB">
      <w:rPr>
        <w:sz w:val="21"/>
        <w:szCs w:val="21"/>
      </w:rPr>
      <w:t xml:space="preserve">     </w:t>
    </w:r>
    <w:r w:rsidRPr="007C69FB">
      <w:rPr>
        <w:b/>
        <w:sz w:val="27"/>
        <w:szCs w:val="27"/>
      </w:rPr>
      <w:t xml:space="preserve">QUESTIONS &amp; ANSWERS </w:t>
    </w:r>
    <w:r w:rsidRPr="007C69FB">
      <w:rPr>
        <w:b/>
        <w:color w:val="548DD4" w:themeColor="text2" w:themeTint="99"/>
        <w:sz w:val="27"/>
        <w:szCs w:val="27"/>
      </w:rPr>
      <w:t>29</w:t>
    </w:r>
    <w:r w:rsidRPr="007C69FB">
      <w:rPr>
        <w:b/>
        <w:color w:val="548DD4" w:themeColor="text2" w:themeTint="99"/>
        <w:sz w:val="27"/>
        <w:szCs w:val="27"/>
      </w:rPr>
      <w:t xml:space="preserve"> </w:t>
    </w:r>
    <w:proofErr w:type="spellStart"/>
    <w:r w:rsidRPr="007C69FB">
      <w:rPr>
        <w:b/>
        <w:color w:val="548DD4" w:themeColor="text2" w:themeTint="99"/>
        <w:sz w:val="27"/>
        <w:szCs w:val="27"/>
      </w:rPr>
      <w:t>November</w:t>
    </w:r>
    <w:proofErr w:type="spellEnd"/>
    <w:r w:rsidRPr="007C69FB">
      <w:rPr>
        <w:b/>
        <w:color w:val="548DD4" w:themeColor="text2" w:themeTint="99"/>
        <w:sz w:val="27"/>
        <w:szCs w:val="27"/>
      </w:rPr>
      <w:t xml:space="preserve"> 2017</w:t>
    </w:r>
  </w:p>
  <w:p w:rsidR="00303A58" w:rsidRPr="007C69FB" w:rsidRDefault="007C69FB" w:rsidP="00A404A7">
    <w:pPr>
      <w:rPr>
        <w:b/>
        <w:sz w:val="27"/>
        <w:szCs w:val="2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E00"/>
    <w:multiLevelType w:val="hybridMultilevel"/>
    <w:tmpl w:val="63A2B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9C4E68"/>
    <w:multiLevelType w:val="hybridMultilevel"/>
    <w:tmpl w:val="0EC28D94"/>
    <w:lvl w:ilvl="0" w:tplc="D72C6B5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F81001B"/>
    <w:multiLevelType w:val="hybridMultilevel"/>
    <w:tmpl w:val="799489D2"/>
    <w:lvl w:ilvl="0" w:tplc="D72C6B5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2CE15DBF"/>
    <w:multiLevelType w:val="hybridMultilevel"/>
    <w:tmpl w:val="CDBC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1750070"/>
    <w:multiLevelType w:val="hybridMultilevel"/>
    <w:tmpl w:val="2C7CD572"/>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5">
    <w:nsid w:val="69122F94"/>
    <w:multiLevelType w:val="hybridMultilevel"/>
    <w:tmpl w:val="504AAD5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69FB"/>
    <w:rsid w:val="000A3424"/>
    <w:rsid w:val="007C69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69FB"/>
    <w:rPr>
      <w:rFonts w:ascii="Calibri" w:eastAsia="Times New Roman" w:hAnsi="Calibri" w:cs="Times New Roman"/>
      <w:lang w:val="ru-RU" w:eastAsia="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C69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69FB"/>
  </w:style>
  <w:style w:type="table" w:styleId="Tabela-Siatka">
    <w:name w:val="Table Grid"/>
    <w:basedOn w:val="Standardowy"/>
    <w:uiPriority w:val="59"/>
    <w:rsid w:val="007C6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C69FB"/>
    <w:pPr>
      <w:ind w:left="720"/>
      <w:contextualSpacing/>
    </w:pPr>
  </w:style>
  <w:style w:type="paragraph" w:styleId="Zwykytekst">
    <w:name w:val="Plain Text"/>
    <w:basedOn w:val="Normalny"/>
    <w:link w:val="ZwykytekstZnak"/>
    <w:unhideWhenUsed/>
    <w:rsid w:val="007C69FB"/>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rsid w:val="007C69FB"/>
    <w:rPr>
      <w:rFonts w:ascii="Consolas" w:hAnsi="Consolas" w:cs="Consolas"/>
      <w:sz w:val="21"/>
      <w:szCs w:val="21"/>
    </w:rPr>
  </w:style>
  <w:style w:type="paragraph" w:customStyle="1" w:styleId="Default">
    <w:name w:val="Default"/>
    <w:basedOn w:val="Normalny"/>
    <w:rsid w:val="007C69FB"/>
    <w:pPr>
      <w:autoSpaceDE w:val="0"/>
      <w:autoSpaceDN w:val="0"/>
      <w:spacing w:after="0" w:line="240" w:lineRule="auto"/>
    </w:pPr>
    <w:rPr>
      <w:color w:val="000000"/>
      <w:sz w:val="24"/>
      <w:szCs w:val="24"/>
      <w:lang w:eastAsia="pl-PL"/>
    </w:rPr>
  </w:style>
  <w:style w:type="paragraph" w:styleId="Tekstdymka">
    <w:name w:val="Balloon Text"/>
    <w:basedOn w:val="Normalny"/>
    <w:link w:val="TekstdymkaZnak"/>
    <w:uiPriority w:val="99"/>
    <w:semiHidden/>
    <w:unhideWhenUsed/>
    <w:rsid w:val="007C69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69FB"/>
    <w:rPr>
      <w:rFonts w:ascii="Tahoma" w:hAnsi="Tahoma" w:cs="Tahoma"/>
      <w:sz w:val="16"/>
      <w:szCs w:val="16"/>
    </w:rPr>
  </w:style>
  <w:style w:type="paragraph" w:customStyle="1" w:styleId="ListParagraph">
    <w:name w:val="List Paragraph"/>
    <w:basedOn w:val="Normalny"/>
    <w:rsid w:val="007C69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974</Words>
  <Characters>5847</Characters>
  <Application>Microsoft Office Word</Application>
  <DocSecurity>0</DocSecurity>
  <Lines>48</Lines>
  <Paragraphs>13</Paragraphs>
  <ScaleCrop>false</ScaleCrop>
  <Company>CPE</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Wantoch-Rekowska</dc:creator>
  <cp:lastModifiedBy>Katarzyna Wantoch-Rekowska</cp:lastModifiedBy>
  <cp:revision>1</cp:revision>
  <dcterms:created xsi:type="dcterms:W3CDTF">2017-11-29T11:26:00Z</dcterms:created>
  <dcterms:modified xsi:type="dcterms:W3CDTF">2017-11-29T11:34:00Z</dcterms:modified>
</cp:coreProperties>
</file>