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144"/>
      </w:tblGrid>
      <w:tr w:rsidR="00326229" w:rsidRPr="005968E1" w:rsidTr="000E11A9">
        <w:trPr>
          <w:trHeight w:val="1309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781CB3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>1.</w:t>
            </w:r>
            <w:r w:rsidR="00370180" w:rsidRPr="005968E1">
              <w:rPr>
                <w:rFonts w:ascii="Arial" w:hAnsi="Arial" w:cs="Arial"/>
              </w:rPr>
              <w:t xml:space="preserve"> </w:t>
            </w:r>
            <w:r w:rsidR="00370180" w:rsidRPr="005968E1">
              <w:rPr>
                <w:rFonts w:ascii="Arial" w:hAnsi="Arial" w:cs="Arial"/>
                <w:b/>
              </w:rPr>
              <w:t xml:space="preserve">Надо ли предоставлять разрешение на строительство </w:t>
            </w:r>
            <w:r w:rsidR="000F5508">
              <w:rPr>
                <w:rFonts w:ascii="Arial" w:hAnsi="Arial" w:cs="Arial"/>
                <w:b/>
              </w:rPr>
              <w:t xml:space="preserve">вместе </w:t>
            </w:r>
            <w:r w:rsidR="00370180" w:rsidRPr="005968E1">
              <w:rPr>
                <w:rFonts w:ascii="Arial" w:hAnsi="Arial" w:cs="Arial"/>
                <w:b/>
              </w:rPr>
              <w:t xml:space="preserve">с </w:t>
            </w:r>
            <w:r w:rsidR="000F5508">
              <w:rPr>
                <w:rFonts w:ascii="Arial" w:hAnsi="Arial" w:cs="Arial"/>
                <w:b/>
              </w:rPr>
              <w:t>ф</w:t>
            </w:r>
            <w:r w:rsidR="00370180" w:rsidRPr="005968E1">
              <w:rPr>
                <w:rFonts w:ascii="Arial" w:hAnsi="Arial" w:cs="Arial"/>
                <w:b/>
              </w:rPr>
              <w:t xml:space="preserve">ормой заявки? </w:t>
            </w:r>
            <w:r w:rsidR="00405F79" w:rsidRPr="005968E1">
              <w:rPr>
                <w:rFonts w:ascii="Arial" w:hAnsi="Arial" w:cs="Arial"/>
                <w:b/>
              </w:rPr>
              <w:t>Согласно Приложени</w:t>
            </w:r>
            <w:r w:rsidR="00781CB3">
              <w:rPr>
                <w:rFonts w:ascii="Arial" w:hAnsi="Arial" w:cs="Arial"/>
                <w:b/>
              </w:rPr>
              <w:t>ю</w:t>
            </w:r>
            <w:r w:rsidR="00405F79" w:rsidRPr="005968E1">
              <w:rPr>
                <w:rFonts w:ascii="Arial" w:hAnsi="Arial" w:cs="Arial"/>
                <w:b/>
              </w:rPr>
              <w:t xml:space="preserve"> А9</w:t>
            </w:r>
            <w:r w:rsidR="00370180" w:rsidRPr="005968E1">
              <w:rPr>
                <w:rFonts w:ascii="Arial" w:hAnsi="Arial" w:cs="Arial"/>
                <w:b/>
              </w:rPr>
              <w:t xml:space="preserve"> </w:t>
            </w:r>
            <w:r w:rsidR="000F5508">
              <w:rPr>
                <w:rFonts w:ascii="Arial" w:hAnsi="Arial" w:cs="Arial"/>
                <w:b/>
              </w:rPr>
              <w:t>бенефициары</w:t>
            </w:r>
            <w:r w:rsidR="00370180" w:rsidRPr="005968E1">
              <w:rPr>
                <w:rFonts w:ascii="Arial" w:hAnsi="Arial" w:cs="Arial"/>
                <w:b/>
              </w:rPr>
              <w:t xml:space="preserve"> должны только </w:t>
            </w:r>
            <w:r w:rsidR="000F5508">
              <w:rPr>
                <w:rFonts w:ascii="Arial" w:hAnsi="Arial" w:cs="Arial"/>
                <w:b/>
              </w:rPr>
              <w:t>за</w:t>
            </w:r>
            <w:r w:rsidR="00370180" w:rsidRPr="005968E1">
              <w:rPr>
                <w:rFonts w:ascii="Arial" w:hAnsi="Arial" w:cs="Arial"/>
                <w:b/>
              </w:rPr>
              <w:t>деклар</w:t>
            </w:r>
            <w:r w:rsidR="000F5508">
              <w:rPr>
                <w:rFonts w:ascii="Arial" w:hAnsi="Arial" w:cs="Arial"/>
                <w:b/>
              </w:rPr>
              <w:t>ировать то</w:t>
            </w:r>
            <w:r w:rsidR="00370180" w:rsidRPr="005968E1">
              <w:rPr>
                <w:rFonts w:ascii="Arial" w:hAnsi="Arial" w:cs="Arial"/>
                <w:b/>
              </w:rPr>
              <w:t>, что разрешение на строительство будет предоставлено в случае</w:t>
            </w:r>
            <w:r w:rsidR="000F5508">
              <w:rPr>
                <w:rFonts w:ascii="Arial" w:hAnsi="Arial" w:cs="Arial"/>
                <w:b/>
              </w:rPr>
              <w:t xml:space="preserve"> </w:t>
            </w:r>
            <w:r w:rsidR="00370180" w:rsidRPr="005968E1">
              <w:rPr>
                <w:rFonts w:ascii="Arial" w:hAnsi="Arial" w:cs="Arial"/>
                <w:b/>
              </w:rPr>
              <w:t>одобрен</w:t>
            </w:r>
            <w:r w:rsidR="000F5508">
              <w:rPr>
                <w:rFonts w:ascii="Arial" w:hAnsi="Arial" w:cs="Arial"/>
                <w:b/>
              </w:rPr>
              <w:t>ия проекта</w:t>
            </w:r>
            <w:r w:rsidR="00370180" w:rsidRPr="005968E1">
              <w:rPr>
                <w:rFonts w:ascii="Arial" w:hAnsi="Arial" w:cs="Arial"/>
                <w:b/>
              </w:rPr>
              <w:t xml:space="preserve">. </w:t>
            </w:r>
            <w:r w:rsidR="000F5508">
              <w:rPr>
                <w:rFonts w:ascii="Arial" w:hAnsi="Arial" w:cs="Arial"/>
                <w:b/>
              </w:rPr>
              <w:t>Однако н</w:t>
            </w:r>
            <w:r w:rsidR="00370180" w:rsidRPr="005968E1">
              <w:rPr>
                <w:rFonts w:ascii="Arial" w:hAnsi="Arial" w:cs="Arial"/>
                <w:b/>
              </w:rPr>
              <w:t xml:space="preserve">екоторые бенефициары планируют получить разрешение перед подачей </w:t>
            </w:r>
            <w:r w:rsidR="000F5508">
              <w:rPr>
                <w:rFonts w:ascii="Arial" w:hAnsi="Arial" w:cs="Arial"/>
                <w:b/>
              </w:rPr>
              <w:t>заявки</w:t>
            </w:r>
            <w:r w:rsidR="00370180" w:rsidRPr="005968E1">
              <w:rPr>
                <w:rFonts w:ascii="Arial" w:hAnsi="Arial" w:cs="Arial"/>
                <w:b/>
              </w:rPr>
              <w:t>.</w:t>
            </w:r>
            <w:r w:rsidR="00424A22">
              <w:rPr>
                <w:rFonts w:ascii="Arial" w:hAnsi="Arial" w:cs="Arial"/>
                <w:b/>
              </w:rPr>
              <w:t xml:space="preserve"> В таком случае </w:t>
            </w:r>
            <w:r w:rsidR="00370180" w:rsidRPr="005968E1">
              <w:rPr>
                <w:rFonts w:ascii="Arial" w:hAnsi="Arial" w:cs="Arial"/>
                <w:b/>
              </w:rPr>
              <w:t>надо ли п</w:t>
            </w:r>
            <w:r w:rsidR="00424A22">
              <w:rPr>
                <w:rFonts w:ascii="Arial" w:hAnsi="Arial" w:cs="Arial"/>
                <w:b/>
              </w:rPr>
              <w:t xml:space="preserve">редоставлять </w:t>
            </w:r>
            <w:r w:rsidR="00370180" w:rsidRPr="005968E1">
              <w:rPr>
                <w:rFonts w:ascii="Arial" w:hAnsi="Arial" w:cs="Arial"/>
                <w:b/>
              </w:rPr>
              <w:t>разрешение</w:t>
            </w:r>
            <w:r w:rsidR="00424A22">
              <w:rPr>
                <w:rFonts w:ascii="Arial" w:hAnsi="Arial" w:cs="Arial"/>
                <w:b/>
              </w:rPr>
              <w:t>? И</w:t>
            </w:r>
            <w:r w:rsidR="00370180" w:rsidRPr="005968E1">
              <w:rPr>
                <w:rFonts w:ascii="Arial" w:hAnsi="Arial" w:cs="Arial"/>
                <w:b/>
              </w:rPr>
              <w:t xml:space="preserve">ли </w:t>
            </w:r>
            <w:r w:rsidR="00424A22">
              <w:rPr>
                <w:rFonts w:ascii="Arial" w:hAnsi="Arial" w:cs="Arial"/>
                <w:b/>
              </w:rPr>
              <w:t xml:space="preserve">же </w:t>
            </w:r>
            <w:r w:rsidR="00370180" w:rsidRPr="005968E1">
              <w:rPr>
                <w:rFonts w:ascii="Arial" w:hAnsi="Arial" w:cs="Arial"/>
                <w:b/>
              </w:rPr>
              <w:t>достаточно п</w:t>
            </w:r>
            <w:r w:rsidR="00424A22">
              <w:rPr>
                <w:rFonts w:ascii="Arial" w:hAnsi="Arial" w:cs="Arial"/>
                <w:b/>
              </w:rPr>
              <w:t xml:space="preserve">одать только </w:t>
            </w:r>
            <w:r w:rsidR="00370180" w:rsidRPr="005968E1">
              <w:rPr>
                <w:rFonts w:ascii="Arial" w:hAnsi="Arial" w:cs="Arial"/>
                <w:b/>
              </w:rPr>
              <w:t>декларацию</w:t>
            </w:r>
            <w:r w:rsidR="00424A22">
              <w:rPr>
                <w:rFonts w:ascii="Arial" w:hAnsi="Arial" w:cs="Arial"/>
                <w:b/>
              </w:rPr>
              <w:t>?</w:t>
            </w:r>
          </w:p>
        </w:tc>
      </w:tr>
      <w:tr w:rsidR="00326229" w:rsidRPr="005968E1" w:rsidTr="000E11A9">
        <w:trPr>
          <w:trHeight w:val="3657"/>
        </w:trPr>
        <w:tc>
          <w:tcPr>
            <w:tcW w:w="10144" w:type="dxa"/>
          </w:tcPr>
          <w:p w:rsidR="00370180" w:rsidRPr="00424A22" w:rsidRDefault="00370180" w:rsidP="00424A22">
            <w:pPr>
              <w:ind w:left="34"/>
              <w:jc w:val="both"/>
              <w:rPr>
                <w:rFonts w:ascii="Arial" w:hAnsi="Arial" w:cs="Arial"/>
              </w:rPr>
            </w:pPr>
            <w:r w:rsidRPr="00424A22">
              <w:rPr>
                <w:rFonts w:ascii="Arial" w:hAnsi="Arial" w:cs="Arial"/>
              </w:rPr>
              <w:t xml:space="preserve">Приложение А9 подразумевает наличие двух вариантов, из которых бенефициар инфраструктурного проекта </w:t>
            </w:r>
            <w:r w:rsidR="00424A22">
              <w:rPr>
                <w:rFonts w:ascii="Arial" w:hAnsi="Arial" w:cs="Arial"/>
              </w:rPr>
              <w:t>должен</w:t>
            </w:r>
            <w:r w:rsidRPr="00424A22">
              <w:rPr>
                <w:rFonts w:ascii="Arial" w:hAnsi="Arial" w:cs="Arial"/>
              </w:rPr>
              <w:t xml:space="preserve"> выбрать подходящ</w:t>
            </w:r>
            <w:r w:rsidR="00405F79" w:rsidRPr="00424A22">
              <w:rPr>
                <w:rFonts w:ascii="Arial" w:hAnsi="Arial" w:cs="Arial"/>
              </w:rPr>
              <w:t>ий</w:t>
            </w:r>
            <w:r w:rsidRPr="00424A22">
              <w:rPr>
                <w:rFonts w:ascii="Arial" w:hAnsi="Arial" w:cs="Arial"/>
              </w:rPr>
              <w:t xml:space="preserve">, заявляя, что реализуемые </w:t>
            </w:r>
            <w:r w:rsidR="00424A22">
              <w:rPr>
                <w:rFonts w:ascii="Arial" w:hAnsi="Arial" w:cs="Arial"/>
              </w:rPr>
              <w:t>работы</w:t>
            </w:r>
            <w:r w:rsidR="00424A22" w:rsidRPr="00424A22">
              <w:rPr>
                <w:rFonts w:ascii="Arial" w:hAnsi="Arial" w:cs="Arial"/>
              </w:rPr>
              <w:t xml:space="preserve"> либо</w:t>
            </w:r>
          </w:p>
          <w:p w:rsidR="00370180" w:rsidRPr="00424A22" w:rsidRDefault="00370180" w:rsidP="00424A22">
            <w:pPr>
              <w:pStyle w:val="Akapitzlist2"/>
              <w:numPr>
                <w:ilvl w:val="0"/>
                <w:numId w:val="3"/>
              </w:numPr>
              <w:ind w:left="432" w:hanging="283"/>
              <w:jc w:val="both"/>
              <w:rPr>
                <w:rFonts w:ascii="Arial" w:hAnsi="Arial" w:cs="Arial"/>
              </w:rPr>
            </w:pPr>
            <w:r w:rsidRPr="00424A22">
              <w:rPr>
                <w:rFonts w:ascii="Arial" w:hAnsi="Arial" w:cs="Arial"/>
              </w:rPr>
              <w:t xml:space="preserve">подпадают под необходимость получения разрешения на строительство или его эквивалента; в таких случаях бенефициар </w:t>
            </w:r>
            <w:r w:rsidR="00424A22">
              <w:rPr>
                <w:rFonts w:ascii="Arial" w:hAnsi="Arial" w:cs="Arial"/>
              </w:rPr>
              <w:t xml:space="preserve">далее </w:t>
            </w:r>
            <w:r w:rsidRPr="00424A22">
              <w:rPr>
                <w:rFonts w:ascii="Arial" w:hAnsi="Arial" w:cs="Arial"/>
              </w:rPr>
              <w:t xml:space="preserve">выбирает один из представленных </w:t>
            </w:r>
            <w:r w:rsidR="00424A22">
              <w:rPr>
                <w:rFonts w:ascii="Arial" w:hAnsi="Arial" w:cs="Arial"/>
              </w:rPr>
              <w:t xml:space="preserve">ниже </w:t>
            </w:r>
            <w:r w:rsidRPr="00424A22">
              <w:rPr>
                <w:rFonts w:ascii="Arial" w:hAnsi="Arial" w:cs="Arial"/>
              </w:rPr>
              <w:t>вариант</w:t>
            </w:r>
            <w:r w:rsidR="00405F79" w:rsidRPr="00424A22">
              <w:rPr>
                <w:rFonts w:ascii="Arial" w:hAnsi="Arial" w:cs="Arial"/>
              </w:rPr>
              <w:t>ов</w:t>
            </w:r>
            <w:r w:rsidRPr="00424A22">
              <w:rPr>
                <w:rFonts w:ascii="Arial" w:hAnsi="Arial" w:cs="Arial"/>
              </w:rPr>
              <w:t xml:space="preserve"> и удаляет второй:</w:t>
            </w:r>
          </w:p>
          <w:p w:rsidR="00370180" w:rsidRPr="00424A22" w:rsidRDefault="00370180" w:rsidP="00424A22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24A22">
              <w:rPr>
                <w:rFonts w:ascii="Arial" w:hAnsi="Arial" w:cs="Arial"/>
              </w:rPr>
              <w:t xml:space="preserve">действующее разрешение на строительство/эквивалент готово и прилагается </w:t>
            </w:r>
            <w:r w:rsidR="00424A22">
              <w:rPr>
                <w:rFonts w:ascii="Arial" w:hAnsi="Arial" w:cs="Arial"/>
              </w:rPr>
              <w:t>к</w:t>
            </w:r>
            <w:r w:rsidRPr="00424A22">
              <w:rPr>
                <w:rFonts w:ascii="Arial" w:hAnsi="Arial" w:cs="Arial"/>
              </w:rPr>
              <w:t xml:space="preserve"> форме заявки (</w:t>
            </w:r>
            <w:r w:rsidR="00424A22">
              <w:rPr>
                <w:rFonts w:ascii="Arial" w:hAnsi="Arial" w:cs="Arial"/>
              </w:rPr>
              <w:t xml:space="preserve">т.е. </w:t>
            </w:r>
            <w:r w:rsidRPr="00424A22">
              <w:rPr>
                <w:rFonts w:ascii="Arial" w:hAnsi="Arial" w:cs="Arial"/>
              </w:rPr>
              <w:t>бенефициар должен приложить разрешение к заявке) ИЛИ</w:t>
            </w:r>
          </w:p>
          <w:p w:rsidR="00370180" w:rsidRPr="00424A22" w:rsidRDefault="00370180" w:rsidP="00424A22">
            <w:pPr>
              <w:pStyle w:val="Akapitzlist2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24A22">
              <w:rPr>
                <w:rFonts w:ascii="Arial" w:hAnsi="Arial" w:cs="Arial"/>
              </w:rPr>
              <w:t xml:space="preserve">действующее разрешение на строительство/эквивалент еще не </w:t>
            </w:r>
            <w:r w:rsidR="00424A22">
              <w:rPr>
                <w:rFonts w:ascii="Arial" w:hAnsi="Arial" w:cs="Arial"/>
              </w:rPr>
              <w:t>получено</w:t>
            </w:r>
            <w:r w:rsidRPr="00424A22">
              <w:rPr>
                <w:rFonts w:ascii="Arial" w:hAnsi="Arial" w:cs="Arial"/>
              </w:rPr>
              <w:t>, но будет п</w:t>
            </w:r>
            <w:r w:rsidR="00424A22">
              <w:rPr>
                <w:rFonts w:ascii="Arial" w:hAnsi="Arial" w:cs="Arial"/>
              </w:rPr>
              <w:t xml:space="preserve">редоставлено </w:t>
            </w:r>
            <w:r w:rsidRPr="00424A22">
              <w:rPr>
                <w:rFonts w:ascii="Arial" w:hAnsi="Arial" w:cs="Arial"/>
              </w:rPr>
              <w:t>в случае одобрения проекта в срок, указанный в письме, уведомляющем о победе в конкурсе, не позднее 3 месяцев от даты письма;</w:t>
            </w:r>
            <w:r w:rsidR="00424A22" w:rsidRPr="00424A22">
              <w:rPr>
                <w:rFonts w:ascii="Arial" w:hAnsi="Arial" w:cs="Arial"/>
              </w:rPr>
              <w:t xml:space="preserve"> </w:t>
            </w:r>
          </w:p>
          <w:p w:rsidR="00424A22" w:rsidRPr="00424A22" w:rsidRDefault="00424A22" w:rsidP="00424A22">
            <w:pPr>
              <w:pStyle w:val="Akapitzlist2"/>
              <w:ind w:left="0"/>
              <w:jc w:val="both"/>
              <w:rPr>
                <w:rFonts w:ascii="Arial" w:hAnsi="Arial" w:cs="Arial"/>
              </w:rPr>
            </w:pPr>
            <w:r w:rsidRPr="00424A22">
              <w:rPr>
                <w:rFonts w:ascii="Arial" w:hAnsi="Arial" w:cs="Arial"/>
              </w:rPr>
              <w:t>либо</w:t>
            </w:r>
          </w:p>
          <w:p w:rsidR="00326229" w:rsidRPr="00424A22" w:rsidRDefault="00370180" w:rsidP="00781CB3">
            <w:pPr>
              <w:pStyle w:val="ListParagraph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b/>
              </w:rPr>
            </w:pPr>
            <w:r w:rsidRPr="00424A22">
              <w:rPr>
                <w:rFonts w:ascii="Arial" w:hAnsi="Arial" w:cs="Arial"/>
              </w:rPr>
              <w:t>не требуют разрешения на строительство или его эквивалент</w:t>
            </w:r>
            <w:r w:rsidR="00424A22">
              <w:rPr>
                <w:rFonts w:ascii="Arial" w:hAnsi="Arial" w:cs="Arial"/>
              </w:rPr>
              <w:t>а</w:t>
            </w:r>
            <w:r w:rsidRPr="00424A22">
              <w:rPr>
                <w:rFonts w:ascii="Arial" w:hAnsi="Arial" w:cs="Arial"/>
              </w:rPr>
              <w:t xml:space="preserve"> согласно национальному законодательству (в таком случае бенефициар должен предоставить ссылку на соответствующ</w:t>
            </w:r>
            <w:r w:rsidR="00424A22">
              <w:rPr>
                <w:rFonts w:ascii="Arial" w:hAnsi="Arial" w:cs="Arial"/>
              </w:rPr>
              <w:t>е</w:t>
            </w:r>
            <w:r w:rsidRPr="00424A22">
              <w:rPr>
                <w:rFonts w:ascii="Arial" w:hAnsi="Arial" w:cs="Arial"/>
              </w:rPr>
              <w:t>е национальн</w:t>
            </w:r>
            <w:r w:rsidR="00424A22">
              <w:rPr>
                <w:rFonts w:ascii="Arial" w:hAnsi="Arial" w:cs="Arial"/>
              </w:rPr>
              <w:t>ое</w:t>
            </w:r>
            <w:r w:rsidRPr="00424A22">
              <w:rPr>
                <w:rFonts w:ascii="Arial" w:hAnsi="Arial" w:cs="Arial"/>
              </w:rPr>
              <w:t xml:space="preserve"> законодатель</w:t>
            </w:r>
            <w:r w:rsidR="00424A22">
              <w:rPr>
                <w:rFonts w:ascii="Arial" w:hAnsi="Arial" w:cs="Arial"/>
              </w:rPr>
              <w:t>ство</w:t>
            </w:r>
            <w:r w:rsidRPr="00424A22">
              <w:rPr>
                <w:rFonts w:ascii="Arial" w:hAnsi="Arial" w:cs="Arial"/>
              </w:rPr>
              <w:t>).</w:t>
            </w:r>
          </w:p>
        </w:tc>
      </w:tr>
      <w:tr w:rsidR="00326229" w:rsidRPr="005968E1" w:rsidTr="000E11A9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424A22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2.  </w:t>
            </w:r>
            <w:r w:rsidR="00370180" w:rsidRPr="005968E1">
              <w:rPr>
                <w:rFonts w:ascii="Arial" w:hAnsi="Arial" w:cs="Arial"/>
                <w:b/>
              </w:rPr>
              <w:t>Как обеспечить доступ к проекту и его результатам людям с ограниченными возможностями? Что означает «обеспечить доступ»?</w:t>
            </w:r>
          </w:p>
        </w:tc>
      </w:tr>
      <w:tr w:rsidR="00326229" w:rsidRPr="005968E1" w:rsidTr="000E11A9">
        <w:trPr>
          <w:trHeight w:val="1890"/>
        </w:trPr>
        <w:tc>
          <w:tcPr>
            <w:tcW w:w="10144" w:type="dxa"/>
          </w:tcPr>
          <w:p w:rsidR="00E21E6C" w:rsidRPr="005968E1" w:rsidRDefault="00E21E6C" w:rsidP="00424A22">
            <w:pPr>
              <w:ind w:left="34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>Способ</w:t>
            </w:r>
            <w:r w:rsidR="00F47065">
              <w:rPr>
                <w:rFonts w:ascii="Arial" w:hAnsi="Arial" w:cs="Arial"/>
              </w:rPr>
              <w:t>ы</w:t>
            </w:r>
            <w:r w:rsidRPr="005968E1">
              <w:rPr>
                <w:rFonts w:ascii="Arial" w:hAnsi="Arial" w:cs="Arial"/>
              </w:rPr>
              <w:t xml:space="preserve"> обеспечения равного доступа к проекту люд</w:t>
            </w:r>
            <w:r w:rsidR="0059323C">
              <w:rPr>
                <w:rFonts w:ascii="Arial" w:hAnsi="Arial" w:cs="Arial"/>
              </w:rPr>
              <w:t>ям</w:t>
            </w:r>
            <w:r w:rsidRPr="005968E1">
              <w:rPr>
                <w:rFonts w:ascii="Arial" w:hAnsi="Arial" w:cs="Arial"/>
              </w:rPr>
              <w:t xml:space="preserve"> с ограниченными возможностями описан</w:t>
            </w:r>
            <w:r w:rsidR="00F47065">
              <w:rPr>
                <w:rFonts w:ascii="Arial" w:hAnsi="Arial" w:cs="Arial"/>
              </w:rPr>
              <w:t>ы</w:t>
            </w:r>
            <w:r w:rsidRPr="005968E1">
              <w:rPr>
                <w:rFonts w:ascii="Arial" w:hAnsi="Arial" w:cs="Arial"/>
              </w:rPr>
              <w:t xml:space="preserve"> в главе 2.3.3 </w:t>
            </w:r>
            <w:r w:rsidR="00B70567">
              <w:rPr>
                <w:rFonts w:ascii="Arial" w:hAnsi="Arial" w:cs="Arial"/>
              </w:rPr>
              <w:t>в</w:t>
            </w:r>
            <w:r w:rsidR="00B70567" w:rsidRPr="0059323C">
              <w:rPr>
                <w:rFonts w:ascii="Arial" w:hAnsi="Arial" w:cs="Arial"/>
              </w:rPr>
              <w:t xml:space="preserve"> «</w:t>
            </w:r>
            <w:r w:rsidR="0059323C">
              <w:rPr>
                <w:rFonts w:ascii="Arial" w:eastAsia="Calibri Light" w:hAnsi="Arial" w:cs="Arial"/>
              </w:rPr>
              <w:t xml:space="preserve">Руководстве по Программе. Часть </w:t>
            </w:r>
            <w:r w:rsidR="0059323C">
              <w:rPr>
                <w:rFonts w:ascii="Arial" w:eastAsia="Calibri Light" w:hAnsi="Arial" w:cs="Arial"/>
                <w:lang w:val="en-GB"/>
              </w:rPr>
              <w:t>I</w:t>
            </w:r>
            <w:r w:rsidR="0059323C">
              <w:rPr>
                <w:rFonts w:ascii="Arial" w:eastAsia="Calibri Light" w:hAnsi="Arial" w:cs="Arial"/>
              </w:rPr>
              <w:t>. Для заявителей</w:t>
            </w:r>
            <w:r w:rsidR="00B70567" w:rsidRPr="0059323C">
              <w:rPr>
                <w:rFonts w:ascii="Arial" w:hAnsi="Arial" w:cs="Arial"/>
              </w:rPr>
              <w:t>»</w:t>
            </w:r>
            <w:r w:rsidRPr="0059323C">
              <w:rPr>
                <w:rFonts w:ascii="Arial" w:hAnsi="Arial" w:cs="Arial"/>
              </w:rPr>
              <w:t xml:space="preserve">. </w:t>
            </w:r>
            <w:r w:rsidRPr="005968E1">
              <w:rPr>
                <w:rFonts w:ascii="Arial" w:hAnsi="Arial" w:cs="Arial"/>
              </w:rPr>
              <w:t>«Обеспечить дост</w:t>
            </w:r>
            <w:r w:rsidR="00AC67A5" w:rsidRPr="005968E1">
              <w:rPr>
                <w:rFonts w:ascii="Arial" w:hAnsi="Arial" w:cs="Arial"/>
              </w:rPr>
              <w:t>уп» означает</w:t>
            </w:r>
            <w:r w:rsidR="00B70567" w:rsidRPr="00B70567">
              <w:rPr>
                <w:rFonts w:ascii="Arial" w:hAnsi="Arial" w:cs="Arial"/>
              </w:rPr>
              <w:t xml:space="preserve"> </w:t>
            </w:r>
            <w:r w:rsidR="00B70567">
              <w:rPr>
                <w:rFonts w:ascii="Arial" w:hAnsi="Arial" w:cs="Arial"/>
              </w:rPr>
              <w:t>то</w:t>
            </w:r>
            <w:r w:rsidR="00AC67A5" w:rsidRPr="005968E1">
              <w:rPr>
                <w:rFonts w:ascii="Arial" w:hAnsi="Arial" w:cs="Arial"/>
              </w:rPr>
              <w:t>, что каждый проект</w:t>
            </w:r>
            <w:r w:rsidRPr="005968E1">
              <w:rPr>
                <w:rFonts w:ascii="Arial" w:hAnsi="Arial" w:cs="Arial"/>
              </w:rPr>
              <w:t xml:space="preserve"> должен обеспечить доступность информации о проекте люд</w:t>
            </w:r>
            <w:r w:rsidR="0059323C">
              <w:rPr>
                <w:rFonts w:ascii="Arial" w:hAnsi="Arial" w:cs="Arial"/>
              </w:rPr>
              <w:t>ям</w:t>
            </w:r>
            <w:r w:rsidRPr="005968E1">
              <w:rPr>
                <w:rFonts w:ascii="Arial" w:hAnsi="Arial" w:cs="Arial"/>
              </w:rPr>
              <w:t xml:space="preserve"> с ограниченными возможностями, </w:t>
            </w:r>
            <w:r w:rsidR="00B70567">
              <w:rPr>
                <w:rFonts w:ascii="Arial" w:hAnsi="Arial" w:cs="Arial"/>
              </w:rPr>
              <w:t xml:space="preserve">а именно –  </w:t>
            </w:r>
            <w:r w:rsidRPr="005968E1">
              <w:rPr>
                <w:rFonts w:ascii="Arial" w:hAnsi="Arial" w:cs="Arial"/>
              </w:rPr>
              <w:t>как использовать</w:t>
            </w:r>
            <w:r w:rsidR="00F47065">
              <w:rPr>
                <w:rFonts w:ascii="Arial" w:hAnsi="Arial" w:cs="Arial"/>
              </w:rPr>
              <w:t xml:space="preserve"> данный проект</w:t>
            </w:r>
            <w:r w:rsidRPr="005968E1">
              <w:rPr>
                <w:rFonts w:ascii="Arial" w:hAnsi="Arial" w:cs="Arial"/>
              </w:rPr>
              <w:t xml:space="preserve">, чему </w:t>
            </w:r>
            <w:r w:rsidR="00F47065">
              <w:rPr>
                <w:rFonts w:ascii="Arial" w:hAnsi="Arial" w:cs="Arial"/>
              </w:rPr>
              <w:t xml:space="preserve">он </w:t>
            </w:r>
            <w:r w:rsidRPr="005968E1">
              <w:rPr>
                <w:rFonts w:ascii="Arial" w:hAnsi="Arial" w:cs="Arial"/>
              </w:rPr>
              <w:t>посвящен и кому он адресован, где и когда он реализ</w:t>
            </w:r>
            <w:r w:rsidR="00F47065">
              <w:rPr>
                <w:rFonts w:ascii="Arial" w:hAnsi="Arial" w:cs="Arial"/>
              </w:rPr>
              <w:t>уется</w:t>
            </w:r>
            <w:r w:rsidRPr="005968E1">
              <w:rPr>
                <w:rFonts w:ascii="Arial" w:hAnsi="Arial" w:cs="Arial"/>
              </w:rPr>
              <w:t>.</w:t>
            </w:r>
          </w:p>
          <w:p w:rsidR="00326229" w:rsidRPr="005968E1" w:rsidRDefault="00E21E6C" w:rsidP="00424A22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</w:rPr>
              <w:t>Более того</w:t>
            </w:r>
            <w:r w:rsidR="00F47065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каждый проект должен обеспечить людям с ограниченными возможностями </w:t>
            </w:r>
            <w:r w:rsidR="00AC67A5" w:rsidRPr="005968E1">
              <w:rPr>
                <w:rFonts w:ascii="Arial" w:hAnsi="Arial" w:cs="Arial"/>
              </w:rPr>
              <w:t xml:space="preserve">доступ </w:t>
            </w:r>
            <w:r w:rsidRPr="005968E1">
              <w:rPr>
                <w:rFonts w:ascii="Arial" w:hAnsi="Arial" w:cs="Arial"/>
              </w:rPr>
              <w:t xml:space="preserve">на информационные встречи, конференции, тренинги, рабочие семинары и другие </w:t>
            </w:r>
            <w:r w:rsidR="00B70567">
              <w:rPr>
                <w:rFonts w:ascii="Arial" w:hAnsi="Arial" w:cs="Arial"/>
              </w:rPr>
              <w:t xml:space="preserve">проектные </w:t>
            </w:r>
            <w:r w:rsidRPr="005968E1">
              <w:rPr>
                <w:rFonts w:ascii="Arial" w:hAnsi="Arial" w:cs="Arial"/>
              </w:rPr>
              <w:t>мероприятия.</w:t>
            </w:r>
          </w:p>
        </w:tc>
      </w:tr>
      <w:tr w:rsidR="00326229" w:rsidRPr="005968E1" w:rsidTr="000E11A9">
        <w:trPr>
          <w:trHeight w:val="529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B70567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3. </w:t>
            </w:r>
            <w:r w:rsidR="00E21E6C" w:rsidRPr="005968E1">
              <w:rPr>
                <w:rFonts w:ascii="Arial" w:hAnsi="Arial" w:cs="Arial"/>
                <w:b/>
              </w:rPr>
              <w:t>Будет ли выпущено письме</w:t>
            </w:r>
            <w:r w:rsidR="005968E1">
              <w:rPr>
                <w:rFonts w:ascii="Arial" w:hAnsi="Arial" w:cs="Arial"/>
                <w:b/>
              </w:rPr>
              <w:t xml:space="preserve">нное руководство по заполнению </w:t>
            </w:r>
            <w:r w:rsidR="00B70567">
              <w:rPr>
                <w:rFonts w:ascii="Arial" w:hAnsi="Arial" w:cs="Arial"/>
                <w:b/>
              </w:rPr>
              <w:t>ф</w:t>
            </w:r>
            <w:r w:rsidR="00E21E6C" w:rsidRPr="005968E1">
              <w:rPr>
                <w:rFonts w:ascii="Arial" w:hAnsi="Arial" w:cs="Arial"/>
                <w:b/>
              </w:rPr>
              <w:t>ормы заявки в онлайн-системе?</w:t>
            </w:r>
          </w:p>
        </w:tc>
      </w:tr>
      <w:tr w:rsidR="00326229" w:rsidRPr="005968E1" w:rsidTr="000E11A9">
        <w:trPr>
          <w:trHeight w:val="529"/>
        </w:trPr>
        <w:tc>
          <w:tcPr>
            <w:tcW w:w="10144" w:type="dxa"/>
          </w:tcPr>
          <w:p w:rsidR="00326229" w:rsidRPr="005968E1" w:rsidRDefault="00B70567" w:rsidP="00B705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Инструкции по </w:t>
            </w:r>
            <w:r w:rsidR="005968E1">
              <w:rPr>
                <w:rFonts w:ascii="Arial" w:hAnsi="Arial" w:cs="Arial"/>
              </w:rPr>
              <w:t xml:space="preserve">заполнению </w:t>
            </w:r>
            <w:r>
              <w:rPr>
                <w:rFonts w:ascii="Arial" w:hAnsi="Arial" w:cs="Arial"/>
              </w:rPr>
              <w:t>ф</w:t>
            </w:r>
            <w:r w:rsidR="00E21E6C" w:rsidRPr="005968E1">
              <w:rPr>
                <w:rFonts w:ascii="Arial" w:hAnsi="Arial" w:cs="Arial"/>
              </w:rPr>
              <w:t xml:space="preserve">ормы заявки </w:t>
            </w:r>
            <w:r>
              <w:rPr>
                <w:rFonts w:ascii="Arial" w:hAnsi="Arial" w:cs="Arial"/>
              </w:rPr>
              <w:t>будут размещены в самой онлайн-системе</w:t>
            </w:r>
            <w:r w:rsidR="00E21E6C" w:rsidRPr="005968E1">
              <w:rPr>
                <w:rFonts w:ascii="Arial" w:hAnsi="Arial" w:cs="Arial"/>
              </w:rPr>
              <w:t>.</w:t>
            </w:r>
          </w:p>
        </w:tc>
      </w:tr>
      <w:tr w:rsidR="00326229" w:rsidRPr="005968E1" w:rsidTr="000E11A9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424A22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>4.</w:t>
            </w:r>
            <w:r w:rsidR="00E21E6C" w:rsidRPr="005968E1">
              <w:rPr>
                <w:rFonts w:ascii="Arial" w:hAnsi="Arial" w:cs="Arial"/>
              </w:rPr>
              <w:t xml:space="preserve"> </w:t>
            </w:r>
            <w:r w:rsidR="00E21E6C" w:rsidRPr="005968E1">
              <w:rPr>
                <w:rFonts w:ascii="Arial" w:hAnsi="Arial" w:cs="Arial"/>
                <w:b/>
              </w:rPr>
              <w:t>Надо ли готовить технико-экономическое обоснование</w:t>
            </w:r>
            <w:r w:rsidR="00B70567">
              <w:rPr>
                <w:rFonts w:ascii="Arial" w:hAnsi="Arial" w:cs="Arial"/>
                <w:b/>
              </w:rPr>
              <w:t xml:space="preserve"> (ТЭО)</w:t>
            </w:r>
            <w:r w:rsidR="00E21E6C" w:rsidRPr="005968E1">
              <w:rPr>
                <w:rFonts w:ascii="Arial" w:hAnsi="Arial" w:cs="Arial"/>
                <w:b/>
              </w:rPr>
              <w:t xml:space="preserve"> на основе правил ЕС?</w:t>
            </w:r>
          </w:p>
        </w:tc>
      </w:tr>
      <w:tr w:rsidR="00326229" w:rsidRPr="005968E1" w:rsidTr="000E11A9">
        <w:trPr>
          <w:trHeight w:val="801"/>
        </w:trPr>
        <w:tc>
          <w:tcPr>
            <w:tcW w:w="10144" w:type="dxa"/>
          </w:tcPr>
          <w:p w:rsidR="00326229" w:rsidRPr="005968E1" w:rsidRDefault="00E21E6C" w:rsidP="00B51B5E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</w:rPr>
              <w:t xml:space="preserve">ТЭО должно быть </w:t>
            </w:r>
            <w:r w:rsidR="00B51B5E">
              <w:rPr>
                <w:rFonts w:ascii="Arial" w:hAnsi="Arial" w:cs="Arial"/>
              </w:rPr>
              <w:t xml:space="preserve">разработано </w:t>
            </w:r>
            <w:r w:rsidRPr="005968E1">
              <w:rPr>
                <w:rFonts w:ascii="Arial" w:hAnsi="Arial" w:cs="Arial"/>
              </w:rPr>
              <w:t>в соответстви</w:t>
            </w:r>
            <w:r w:rsidR="00B51B5E">
              <w:rPr>
                <w:rFonts w:ascii="Arial" w:hAnsi="Arial" w:cs="Arial"/>
              </w:rPr>
              <w:t>и</w:t>
            </w:r>
            <w:r w:rsidRPr="005968E1">
              <w:rPr>
                <w:rFonts w:ascii="Arial" w:hAnsi="Arial" w:cs="Arial"/>
              </w:rPr>
              <w:t xml:space="preserve"> с </w:t>
            </w:r>
            <w:r w:rsidR="00B51B5E">
              <w:rPr>
                <w:rFonts w:ascii="Arial" w:hAnsi="Arial" w:cs="Arial"/>
              </w:rPr>
              <w:t>«Р</w:t>
            </w:r>
            <w:r w:rsidRPr="005968E1">
              <w:rPr>
                <w:rFonts w:ascii="Arial" w:hAnsi="Arial" w:cs="Arial"/>
              </w:rPr>
              <w:t>уководство</w:t>
            </w:r>
            <w:r w:rsidR="00AC67A5" w:rsidRPr="005968E1">
              <w:rPr>
                <w:rFonts w:ascii="Arial" w:hAnsi="Arial" w:cs="Arial"/>
              </w:rPr>
              <w:t>м</w:t>
            </w:r>
            <w:r w:rsidRPr="005968E1">
              <w:rPr>
                <w:rFonts w:ascii="Arial" w:hAnsi="Arial" w:cs="Arial"/>
              </w:rPr>
              <w:t xml:space="preserve"> </w:t>
            </w:r>
            <w:r w:rsidR="00B51B5E">
              <w:rPr>
                <w:rFonts w:ascii="Arial" w:hAnsi="Arial" w:cs="Arial"/>
              </w:rPr>
              <w:t>по подготовке технико-экономического обоснования»</w:t>
            </w:r>
            <w:r w:rsidRPr="005968E1">
              <w:rPr>
                <w:rFonts w:ascii="Arial" w:hAnsi="Arial" w:cs="Arial"/>
              </w:rPr>
              <w:t xml:space="preserve">, которое </w:t>
            </w:r>
            <w:r w:rsidR="00B51B5E">
              <w:rPr>
                <w:rFonts w:ascii="Arial" w:hAnsi="Arial" w:cs="Arial"/>
              </w:rPr>
              <w:t xml:space="preserve">размещено на </w:t>
            </w:r>
            <w:r w:rsidRPr="005968E1">
              <w:rPr>
                <w:rFonts w:ascii="Arial" w:hAnsi="Arial" w:cs="Arial"/>
              </w:rPr>
              <w:t xml:space="preserve">веб-сайте Программы. </w:t>
            </w:r>
          </w:p>
        </w:tc>
      </w:tr>
      <w:tr w:rsidR="00326229" w:rsidRPr="005968E1" w:rsidTr="000E11A9">
        <w:trPr>
          <w:trHeight w:val="386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424A22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5. </w:t>
            </w:r>
            <w:r w:rsidR="00E21E6C" w:rsidRPr="005968E1">
              <w:rPr>
                <w:rFonts w:ascii="Arial" w:hAnsi="Arial" w:cs="Arial"/>
                <w:b/>
              </w:rPr>
              <w:t>В какой степени вопрос господдержки касается российских ведущих бенефициаров?</w:t>
            </w:r>
          </w:p>
        </w:tc>
      </w:tr>
      <w:tr w:rsidR="00326229" w:rsidRPr="005968E1" w:rsidTr="000E11A9">
        <w:trPr>
          <w:trHeight w:val="544"/>
        </w:trPr>
        <w:tc>
          <w:tcPr>
            <w:tcW w:w="10144" w:type="dxa"/>
          </w:tcPr>
          <w:p w:rsidR="00326229" w:rsidRPr="005968E1" w:rsidRDefault="001C4146" w:rsidP="00B51B5E">
            <w:pPr>
              <w:ind w:left="34"/>
              <w:jc w:val="both"/>
              <w:rPr>
                <w:rFonts w:ascii="Arial" w:eastAsia="Calibri" w:hAnsi="Arial" w:cs="Arial"/>
              </w:rPr>
            </w:pPr>
            <w:r w:rsidRPr="005968E1">
              <w:rPr>
                <w:rFonts w:ascii="Arial" w:hAnsi="Arial" w:cs="Arial"/>
              </w:rPr>
              <w:t>В соответствии</w:t>
            </w:r>
            <w:r w:rsidR="00E21E6C" w:rsidRPr="005968E1">
              <w:rPr>
                <w:rFonts w:ascii="Arial" w:hAnsi="Arial" w:cs="Arial"/>
              </w:rPr>
              <w:t xml:space="preserve"> с главой 2.3.4 </w:t>
            </w:r>
            <w:r w:rsidR="00B51B5E">
              <w:rPr>
                <w:rFonts w:ascii="Arial" w:hAnsi="Arial" w:cs="Arial"/>
              </w:rPr>
              <w:t>«</w:t>
            </w:r>
            <w:r w:rsidR="00F47065">
              <w:rPr>
                <w:rFonts w:ascii="Arial" w:eastAsia="Calibri Light" w:hAnsi="Arial" w:cs="Arial"/>
              </w:rPr>
              <w:t xml:space="preserve">Руководства по Программе. Часть </w:t>
            </w:r>
            <w:r w:rsidR="00F47065">
              <w:rPr>
                <w:rFonts w:ascii="Arial" w:eastAsia="Calibri Light" w:hAnsi="Arial" w:cs="Arial"/>
                <w:lang w:val="en-GB"/>
              </w:rPr>
              <w:t>I</w:t>
            </w:r>
            <w:r w:rsidR="00F47065">
              <w:rPr>
                <w:rFonts w:ascii="Arial" w:eastAsia="Calibri Light" w:hAnsi="Arial" w:cs="Arial"/>
              </w:rPr>
              <w:t>. Для заявителей</w:t>
            </w:r>
            <w:r w:rsidR="00B51B5E">
              <w:rPr>
                <w:rFonts w:ascii="Arial" w:hAnsi="Arial" w:cs="Arial"/>
              </w:rPr>
              <w:t>»</w:t>
            </w:r>
            <w:r w:rsidR="00E21E6C" w:rsidRPr="005968E1">
              <w:rPr>
                <w:rFonts w:ascii="Arial" w:hAnsi="Arial" w:cs="Arial"/>
              </w:rPr>
              <w:t xml:space="preserve"> правила господдержки не применяются для бенефициаров из Российской Федерации.</w:t>
            </w:r>
          </w:p>
        </w:tc>
      </w:tr>
      <w:tr w:rsidR="00326229" w:rsidRPr="005968E1" w:rsidTr="000E11A9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F47065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6. </w:t>
            </w:r>
            <w:r w:rsidR="002E7273" w:rsidRPr="005968E1">
              <w:rPr>
                <w:rFonts w:ascii="Arial" w:hAnsi="Arial" w:cs="Arial"/>
                <w:b/>
              </w:rPr>
              <w:t xml:space="preserve">Каковы будут последствия для проекта, если он будет получать </w:t>
            </w:r>
            <w:r w:rsidR="00F47065">
              <w:rPr>
                <w:rFonts w:ascii="Arial" w:hAnsi="Arial" w:cs="Arial"/>
                <w:b/>
              </w:rPr>
              <w:t>доход</w:t>
            </w:r>
            <w:r w:rsidR="002E7273" w:rsidRPr="005968E1">
              <w:rPr>
                <w:rFonts w:ascii="Arial" w:hAnsi="Arial" w:cs="Arial"/>
                <w:b/>
              </w:rPr>
              <w:t xml:space="preserve"> в процессе реализации и/или после завершения проекта? Что если на стадии планирования или составления заявки не был</w:t>
            </w:r>
            <w:r w:rsidR="00AC67A5" w:rsidRPr="005968E1">
              <w:rPr>
                <w:rFonts w:ascii="Arial" w:hAnsi="Arial" w:cs="Arial"/>
                <w:b/>
              </w:rPr>
              <w:t>и</w:t>
            </w:r>
            <w:r w:rsidR="002E7273" w:rsidRPr="005968E1">
              <w:rPr>
                <w:rFonts w:ascii="Arial" w:hAnsi="Arial" w:cs="Arial"/>
                <w:b/>
              </w:rPr>
              <w:t xml:space="preserve"> предусмотрен</w:t>
            </w:r>
            <w:r w:rsidR="00AC67A5" w:rsidRPr="005968E1">
              <w:rPr>
                <w:rFonts w:ascii="Arial" w:hAnsi="Arial" w:cs="Arial"/>
                <w:b/>
              </w:rPr>
              <w:t>ы</w:t>
            </w:r>
            <w:r w:rsidR="002E7273" w:rsidRPr="005968E1">
              <w:rPr>
                <w:rFonts w:ascii="Arial" w:hAnsi="Arial" w:cs="Arial"/>
                <w:b/>
              </w:rPr>
              <w:t xml:space="preserve"> возможност</w:t>
            </w:r>
            <w:r w:rsidR="00AC67A5" w:rsidRPr="005968E1">
              <w:rPr>
                <w:rFonts w:ascii="Arial" w:hAnsi="Arial" w:cs="Arial"/>
                <w:b/>
              </w:rPr>
              <w:t>и</w:t>
            </w:r>
            <w:r w:rsidR="002E7273" w:rsidRPr="005968E1">
              <w:rPr>
                <w:rFonts w:ascii="Arial" w:hAnsi="Arial" w:cs="Arial"/>
                <w:b/>
              </w:rPr>
              <w:t xml:space="preserve">, </w:t>
            </w:r>
            <w:r w:rsidR="00AC67A5" w:rsidRPr="005968E1">
              <w:rPr>
                <w:rFonts w:ascii="Arial" w:hAnsi="Arial" w:cs="Arial"/>
                <w:b/>
              </w:rPr>
              <w:t xml:space="preserve">при которых может возникнуть </w:t>
            </w:r>
            <w:r w:rsidR="00F47065">
              <w:rPr>
                <w:rFonts w:ascii="Arial" w:hAnsi="Arial" w:cs="Arial"/>
                <w:b/>
              </w:rPr>
              <w:t>доход</w:t>
            </w:r>
            <w:r w:rsidR="002E7273" w:rsidRPr="005968E1">
              <w:rPr>
                <w:rFonts w:ascii="Arial" w:hAnsi="Arial" w:cs="Arial"/>
                <w:b/>
              </w:rPr>
              <w:t>?</w:t>
            </w:r>
          </w:p>
        </w:tc>
      </w:tr>
      <w:tr w:rsidR="00326229" w:rsidRPr="005968E1" w:rsidTr="000E11A9">
        <w:trPr>
          <w:trHeight w:val="257"/>
        </w:trPr>
        <w:tc>
          <w:tcPr>
            <w:tcW w:w="10144" w:type="dxa"/>
          </w:tcPr>
          <w:p w:rsidR="002E7273" w:rsidRPr="005968E1" w:rsidRDefault="002E7273" w:rsidP="00424A22">
            <w:pPr>
              <w:ind w:left="34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>Программа допускает получение дохода проектом</w:t>
            </w:r>
            <w:r w:rsidR="00F47065">
              <w:rPr>
                <w:rFonts w:ascii="Arial" w:hAnsi="Arial" w:cs="Arial"/>
              </w:rPr>
              <w:t>;</w:t>
            </w:r>
            <w:r w:rsidRPr="005968E1">
              <w:rPr>
                <w:rFonts w:ascii="Arial" w:hAnsi="Arial" w:cs="Arial"/>
              </w:rPr>
              <w:t xml:space="preserve"> однако доход, полученный в период реализации проекта, не может превышать размер софинансирования всего проекта (10% от всех допустимых расходов).</w:t>
            </w:r>
          </w:p>
          <w:p w:rsidR="00326229" w:rsidRPr="005968E1" w:rsidRDefault="002E7273" w:rsidP="00F47065">
            <w:pPr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lastRenderedPageBreak/>
              <w:t xml:space="preserve">С другой стороны, нет ограничений для получения </w:t>
            </w:r>
            <w:r w:rsidR="00F47065">
              <w:rPr>
                <w:rFonts w:ascii="Arial" w:hAnsi="Arial" w:cs="Arial"/>
              </w:rPr>
              <w:t>дохода</w:t>
            </w:r>
            <w:r w:rsidRPr="005968E1">
              <w:rPr>
                <w:rFonts w:ascii="Arial" w:hAnsi="Arial" w:cs="Arial"/>
              </w:rPr>
              <w:t xml:space="preserve"> после реализации проекта. </w:t>
            </w:r>
            <w:r w:rsidR="00B51B5E">
              <w:rPr>
                <w:rFonts w:ascii="Arial" w:hAnsi="Arial" w:cs="Arial"/>
              </w:rPr>
              <w:t xml:space="preserve">Тем не менее необходимо </w:t>
            </w:r>
            <w:r w:rsidRPr="005968E1">
              <w:rPr>
                <w:rFonts w:ascii="Arial" w:hAnsi="Arial" w:cs="Arial"/>
              </w:rPr>
              <w:t>принять во внимание, что любой инвестиционный проект или проект, включающий инфраструктурный компонент</w:t>
            </w:r>
            <w:r w:rsidR="005968E1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должен </w:t>
            </w:r>
            <w:r w:rsidR="00B51B5E">
              <w:rPr>
                <w:rFonts w:ascii="Arial" w:hAnsi="Arial" w:cs="Arial"/>
              </w:rPr>
              <w:t xml:space="preserve">будет </w:t>
            </w:r>
            <w:r w:rsidRPr="005968E1">
              <w:rPr>
                <w:rFonts w:ascii="Arial" w:hAnsi="Arial" w:cs="Arial"/>
              </w:rPr>
              <w:t xml:space="preserve">выплатить вклад </w:t>
            </w:r>
            <w:r w:rsidR="00AC67A5" w:rsidRPr="005968E1">
              <w:rPr>
                <w:rFonts w:ascii="Arial" w:hAnsi="Arial" w:cs="Arial"/>
              </w:rPr>
              <w:t xml:space="preserve">Европейского </w:t>
            </w:r>
            <w:r w:rsidRPr="005968E1">
              <w:rPr>
                <w:rFonts w:ascii="Arial" w:hAnsi="Arial" w:cs="Arial"/>
              </w:rPr>
              <w:t>Союза</w:t>
            </w:r>
            <w:r w:rsidR="00B51B5E">
              <w:rPr>
                <w:rFonts w:ascii="Arial" w:hAnsi="Arial" w:cs="Arial"/>
              </w:rPr>
              <w:t xml:space="preserve"> в том случае</w:t>
            </w:r>
            <w:r w:rsidRPr="005968E1">
              <w:rPr>
                <w:rFonts w:ascii="Arial" w:hAnsi="Arial" w:cs="Arial"/>
              </w:rPr>
              <w:t xml:space="preserve">, если в течение 5 лет после </w:t>
            </w:r>
            <w:r w:rsidR="00B51B5E">
              <w:rPr>
                <w:rFonts w:ascii="Arial" w:hAnsi="Arial" w:cs="Arial"/>
              </w:rPr>
              <w:t xml:space="preserve">его </w:t>
            </w:r>
            <w:r w:rsidRPr="005968E1">
              <w:rPr>
                <w:rFonts w:ascii="Arial" w:hAnsi="Arial" w:cs="Arial"/>
              </w:rPr>
              <w:t xml:space="preserve">завершения или в период, установленный правилами государственной поддержки, он подвергся существенным изменениям, затрагивающим его природу, </w:t>
            </w:r>
            <w:r w:rsidR="00B51B5E">
              <w:rPr>
                <w:rFonts w:ascii="Arial" w:hAnsi="Arial" w:cs="Arial"/>
              </w:rPr>
              <w:t xml:space="preserve">задачи </w:t>
            </w:r>
            <w:r w:rsidRPr="005968E1">
              <w:rPr>
                <w:rFonts w:ascii="Arial" w:hAnsi="Arial" w:cs="Arial"/>
              </w:rPr>
              <w:t xml:space="preserve">или условия реализации, </w:t>
            </w:r>
            <w:r w:rsidR="00B51B5E">
              <w:rPr>
                <w:rFonts w:ascii="Arial" w:hAnsi="Arial" w:cs="Arial"/>
              </w:rPr>
              <w:t xml:space="preserve">которые </w:t>
            </w:r>
            <w:r w:rsidRPr="005968E1">
              <w:rPr>
                <w:rFonts w:ascii="Arial" w:hAnsi="Arial" w:cs="Arial"/>
              </w:rPr>
              <w:t>мо</w:t>
            </w:r>
            <w:r w:rsidR="00B51B5E">
              <w:rPr>
                <w:rFonts w:ascii="Arial" w:hAnsi="Arial" w:cs="Arial"/>
              </w:rPr>
              <w:t>гут</w:t>
            </w:r>
            <w:r w:rsidRPr="005968E1">
              <w:rPr>
                <w:rFonts w:ascii="Arial" w:hAnsi="Arial" w:cs="Arial"/>
              </w:rPr>
              <w:t xml:space="preserve"> негативно сказаться на его исходных </w:t>
            </w:r>
            <w:r w:rsidR="00B51B5E">
              <w:rPr>
                <w:rFonts w:ascii="Arial" w:hAnsi="Arial" w:cs="Arial"/>
              </w:rPr>
              <w:t>це</w:t>
            </w:r>
            <w:r w:rsidRPr="005968E1">
              <w:rPr>
                <w:rFonts w:ascii="Arial" w:hAnsi="Arial" w:cs="Arial"/>
              </w:rPr>
              <w:t>лях.</w:t>
            </w:r>
          </w:p>
        </w:tc>
      </w:tr>
      <w:tr w:rsidR="00326229" w:rsidRPr="005968E1" w:rsidTr="000E11A9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424A22">
            <w:pPr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632ADF" w:rsidRPr="005968E1">
              <w:rPr>
                <w:rFonts w:ascii="Arial" w:hAnsi="Arial" w:cs="Arial"/>
                <w:b/>
              </w:rPr>
              <w:t>Можно ли изменить бюджет крупного инфраструктурного проекта (КИП</w:t>
            </w:r>
            <w:r w:rsidR="00B51B5E">
              <w:rPr>
                <w:rFonts w:ascii="Arial" w:hAnsi="Arial" w:cs="Arial"/>
                <w:b/>
              </w:rPr>
              <w:t>а</w:t>
            </w:r>
            <w:r w:rsidR="00632ADF" w:rsidRPr="005968E1">
              <w:rPr>
                <w:rFonts w:ascii="Arial" w:hAnsi="Arial" w:cs="Arial"/>
                <w:b/>
              </w:rPr>
              <w:t>) на стадии подачи Полной формы заявки (ПФЗ)?</w:t>
            </w:r>
          </w:p>
        </w:tc>
      </w:tr>
      <w:tr w:rsidR="00326229" w:rsidRPr="005968E1" w:rsidTr="000E11A9">
        <w:trPr>
          <w:trHeight w:val="272"/>
        </w:trPr>
        <w:tc>
          <w:tcPr>
            <w:tcW w:w="10144" w:type="dxa"/>
          </w:tcPr>
          <w:p w:rsidR="00326229" w:rsidRPr="005968E1" w:rsidRDefault="00632ADF" w:rsidP="00A03B2F">
            <w:pPr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>Бюджет КИПа, включенный в ПФЗ</w:t>
            </w:r>
            <w:r w:rsidR="00A03B2F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должен соот</w:t>
            </w:r>
            <w:r w:rsidR="00A03B2F">
              <w:rPr>
                <w:rFonts w:ascii="Arial" w:hAnsi="Arial" w:cs="Arial"/>
              </w:rPr>
              <w:t xml:space="preserve">ветствовать </w:t>
            </w:r>
            <w:r w:rsidRPr="005968E1">
              <w:rPr>
                <w:rFonts w:ascii="Arial" w:hAnsi="Arial" w:cs="Arial"/>
              </w:rPr>
              <w:t>бюджет</w:t>
            </w:r>
            <w:r w:rsidR="00A03B2F">
              <w:rPr>
                <w:rFonts w:ascii="Arial" w:hAnsi="Arial" w:cs="Arial"/>
              </w:rPr>
              <w:t>у</w:t>
            </w:r>
            <w:r w:rsidRPr="005968E1">
              <w:rPr>
                <w:rFonts w:ascii="Arial" w:hAnsi="Arial" w:cs="Arial"/>
              </w:rPr>
              <w:t>, представленн</w:t>
            </w:r>
            <w:r w:rsidR="00A03B2F">
              <w:rPr>
                <w:rFonts w:ascii="Arial" w:hAnsi="Arial" w:cs="Arial"/>
              </w:rPr>
              <w:t>о</w:t>
            </w:r>
            <w:r w:rsidRPr="005968E1">
              <w:rPr>
                <w:rFonts w:ascii="Arial" w:hAnsi="Arial" w:cs="Arial"/>
              </w:rPr>
              <w:t>м</w:t>
            </w:r>
            <w:r w:rsidR="00A03B2F">
              <w:rPr>
                <w:rFonts w:ascii="Arial" w:hAnsi="Arial" w:cs="Arial"/>
              </w:rPr>
              <w:t>у</w:t>
            </w:r>
            <w:r w:rsidRPr="005968E1">
              <w:rPr>
                <w:rFonts w:ascii="Arial" w:hAnsi="Arial" w:cs="Arial"/>
              </w:rPr>
              <w:t xml:space="preserve"> в </w:t>
            </w:r>
            <w:r w:rsidR="00A03B2F">
              <w:rPr>
                <w:rFonts w:ascii="Arial" w:hAnsi="Arial" w:cs="Arial"/>
              </w:rPr>
              <w:t>Резюме проекта</w:t>
            </w:r>
            <w:r w:rsidRPr="005968E1">
              <w:rPr>
                <w:rFonts w:ascii="Arial" w:hAnsi="Arial" w:cs="Arial"/>
              </w:rPr>
              <w:t xml:space="preserve">. </w:t>
            </w:r>
            <w:r w:rsidR="00A03B2F">
              <w:rPr>
                <w:rFonts w:ascii="Arial" w:hAnsi="Arial" w:cs="Arial"/>
              </w:rPr>
              <w:t xml:space="preserve">В случае если </w:t>
            </w:r>
            <w:r w:rsidRPr="005968E1">
              <w:rPr>
                <w:rFonts w:ascii="Arial" w:hAnsi="Arial" w:cs="Arial"/>
              </w:rPr>
              <w:t xml:space="preserve">бенефициар заранее знает, что некоторая часть </w:t>
            </w:r>
            <w:r w:rsidR="00A03B2F">
              <w:rPr>
                <w:rFonts w:ascii="Arial" w:hAnsi="Arial" w:cs="Arial"/>
              </w:rPr>
              <w:t xml:space="preserve">заявленного </w:t>
            </w:r>
            <w:r w:rsidRPr="005968E1">
              <w:rPr>
                <w:rFonts w:ascii="Arial" w:hAnsi="Arial" w:cs="Arial"/>
              </w:rPr>
              <w:t>бюджета  содержит недопустимые расходы</w:t>
            </w:r>
            <w:r w:rsidR="00A03B2F">
              <w:rPr>
                <w:rFonts w:ascii="Arial" w:hAnsi="Arial" w:cs="Arial"/>
              </w:rPr>
              <w:t xml:space="preserve"> </w:t>
            </w:r>
            <w:r w:rsidR="00A03B2F" w:rsidRPr="005968E1">
              <w:rPr>
                <w:rFonts w:ascii="Arial" w:hAnsi="Arial" w:cs="Arial"/>
              </w:rPr>
              <w:t>(например, техническая документация</w:t>
            </w:r>
            <w:r w:rsidR="00A03B2F">
              <w:rPr>
                <w:rFonts w:ascii="Arial" w:hAnsi="Arial" w:cs="Arial"/>
              </w:rPr>
              <w:t>, о</w:t>
            </w:r>
            <w:r w:rsidR="00A03B2F" w:rsidRPr="005968E1">
              <w:rPr>
                <w:rFonts w:ascii="Arial" w:hAnsi="Arial" w:cs="Arial"/>
              </w:rPr>
              <w:t>плачен</w:t>
            </w:r>
            <w:r w:rsidR="00A03B2F">
              <w:rPr>
                <w:rFonts w:ascii="Arial" w:hAnsi="Arial" w:cs="Arial"/>
              </w:rPr>
              <w:t>ная</w:t>
            </w:r>
            <w:r w:rsidR="00A03B2F" w:rsidRPr="005968E1">
              <w:rPr>
                <w:rFonts w:ascii="Arial" w:hAnsi="Arial" w:cs="Arial"/>
              </w:rPr>
              <w:t xml:space="preserve"> до 8 декабря 2016</w:t>
            </w:r>
            <w:r w:rsidR="00A03B2F">
              <w:rPr>
                <w:rFonts w:ascii="Arial" w:hAnsi="Arial" w:cs="Arial"/>
              </w:rPr>
              <w:t xml:space="preserve"> </w:t>
            </w:r>
            <w:r w:rsidR="00A03B2F" w:rsidRPr="005968E1">
              <w:rPr>
                <w:rFonts w:ascii="Arial" w:hAnsi="Arial" w:cs="Arial"/>
              </w:rPr>
              <w:t>г.)</w:t>
            </w:r>
            <w:r w:rsidRPr="005968E1">
              <w:rPr>
                <w:rFonts w:ascii="Arial" w:hAnsi="Arial" w:cs="Arial"/>
              </w:rPr>
              <w:t>, будет разумно исключить такие расходы и</w:t>
            </w:r>
            <w:r w:rsidR="00AC67A5" w:rsidRPr="005968E1">
              <w:rPr>
                <w:rFonts w:ascii="Arial" w:hAnsi="Arial" w:cs="Arial"/>
              </w:rPr>
              <w:t>з</w:t>
            </w:r>
            <w:r w:rsidRPr="005968E1">
              <w:rPr>
                <w:rFonts w:ascii="Arial" w:hAnsi="Arial" w:cs="Arial"/>
              </w:rPr>
              <w:t xml:space="preserve"> бюджета </w:t>
            </w:r>
            <w:r w:rsidR="00A03B2F">
              <w:rPr>
                <w:rFonts w:ascii="Arial" w:hAnsi="Arial" w:cs="Arial"/>
              </w:rPr>
              <w:t xml:space="preserve">в </w:t>
            </w:r>
            <w:r w:rsidRPr="005968E1">
              <w:rPr>
                <w:rFonts w:ascii="Arial" w:hAnsi="Arial" w:cs="Arial"/>
              </w:rPr>
              <w:t xml:space="preserve">ПФЗ. Таким образом допустимо снижение бюджета, но </w:t>
            </w:r>
            <w:r w:rsidR="00A03B2F">
              <w:rPr>
                <w:rFonts w:ascii="Arial" w:hAnsi="Arial" w:cs="Arial"/>
              </w:rPr>
              <w:t xml:space="preserve">невозможно его увеличение по сравнению с указанным в Резюме проекта. </w:t>
            </w:r>
          </w:p>
        </w:tc>
      </w:tr>
      <w:tr w:rsidR="00326229" w:rsidRPr="005968E1" w:rsidTr="000E11A9">
        <w:trPr>
          <w:trHeight w:val="328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424A22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8. </w:t>
            </w:r>
            <w:r w:rsidR="00AC67A5" w:rsidRPr="005968E1">
              <w:rPr>
                <w:rFonts w:ascii="Arial" w:eastAsia="Calibri" w:hAnsi="Arial" w:cs="Arial"/>
                <w:b/>
              </w:rPr>
              <w:t>Должны</w:t>
            </w:r>
            <w:r w:rsidR="004924F5" w:rsidRPr="005968E1">
              <w:rPr>
                <w:rFonts w:ascii="Arial" w:eastAsia="Calibri" w:hAnsi="Arial" w:cs="Arial"/>
                <w:b/>
              </w:rPr>
              <w:t xml:space="preserve"> ли все заявители </w:t>
            </w:r>
            <w:r w:rsidR="00AC67A5" w:rsidRPr="005968E1">
              <w:rPr>
                <w:rFonts w:ascii="Arial" w:eastAsia="Calibri" w:hAnsi="Arial" w:cs="Arial"/>
                <w:b/>
              </w:rPr>
              <w:t>пред</w:t>
            </w:r>
            <w:r w:rsidR="00BA0239">
              <w:rPr>
                <w:rFonts w:ascii="Arial" w:eastAsia="Calibri" w:hAnsi="Arial" w:cs="Arial"/>
                <w:b/>
              </w:rPr>
              <w:t>о</w:t>
            </w:r>
            <w:r w:rsidR="00AC67A5" w:rsidRPr="005968E1">
              <w:rPr>
                <w:rFonts w:ascii="Arial" w:eastAsia="Calibri" w:hAnsi="Arial" w:cs="Arial"/>
                <w:b/>
              </w:rPr>
              <w:t>ставлять</w:t>
            </w:r>
            <w:r w:rsidR="004924F5" w:rsidRPr="005968E1">
              <w:rPr>
                <w:rFonts w:ascii="Arial" w:eastAsia="Calibri" w:hAnsi="Arial" w:cs="Arial"/>
                <w:b/>
              </w:rPr>
              <w:t xml:space="preserve"> доказательства финансовой стабильности </w:t>
            </w:r>
            <w:r w:rsidRPr="005968E1">
              <w:rPr>
                <w:rFonts w:ascii="Arial" w:eastAsia="Calibri" w:hAnsi="Arial" w:cs="Arial"/>
                <w:b/>
              </w:rPr>
              <w:t>(Annex A</w:t>
            </w:r>
            <w:r w:rsidR="00AC67A5" w:rsidRPr="005968E1">
              <w:rPr>
                <w:rFonts w:ascii="Arial" w:eastAsia="Calibri" w:hAnsi="Arial" w:cs="Arial"/>
                <w:b/>
              </w:rPr>
              <w:t>3)</w:t>
            </w:r>
            <w:r w:rsidRPr="005968E1">
              <w:rPr>
                <w:rFonts w:ascii="Arial" w:eastAsia="Calibri" w:hAnsi="Arial" w:cs="Arial"/>
                <w:b/>
              </w:rPr>
              <w:t>?</w:t>
            </w:r>
          </w:p>
        </w:tc>
      </w:tr>
      <w:tr w:rsidR="00326229" w:rsidRPr="005968E1" w:rsidTr="000E11A9">
        <w:trPr>
          <w:trHeight w:val="257"/>
        </w:trPr>
        <w:tc>
          <w:tcPr>
            <w:tcW w:w="10144" w:type="dxa"/>
          </w:tcPr>
          <w:p w:rsidR="00326229" w:rsidRPr="005968E1" w:rsidRDefault="004924F5" w:rsidP="00E037CE">
            <w:pPr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 xml:space="preserve">Приложение А3 </w:t>
            </w:r>
            <w:r w:rsidR="001D006F">
              <w:rPr>
                <w:rFonts w:ascii="Arial" w:hAnsi="Arial" w:cs="Arial"/>
              </w:rPr>
              <w:t>«</w:t>
            </w:r>
            <w:r w:rsidRPr="00866100">
              <w:rPr>
                <w:rFonts w:ascii="Arial" w:hAnsi="Arial" w:cs="Arial"/>
              </w:rPr>
              <w:t>Копии отчета о прибылях и убытках и баланс или другие соответствующие документы за последние 3 года</w:t>
            </w:r>
            <w:r w:rsidR="001D006F">
              <w:rPr>
                <w:rFonts w:ascii="Arial" w:hAnsi="Arial" w:cs="Arial"/>
              </w:rPr>
              <w:t>»</w:t>
            </w:r>
            <w:r w:rsidRPr="005968E1">
              <w:rPr>
                <w:rFonts w:ascii="Arial" w:hAnsi="Arial" w:cs="Arial"/>
              </w:rPr>
              <w:t xml:space="preserve"> не </w:t>
            </w:r>
            <w:r w:rsidR="00BA0239">
              <w:rPr>
                <w:rFonts w:ascii="Arial" w:hAnsi="Arial" w:cs="Arial"/>
              </w:rPr>
              <w:t>предоставляется национальными, региональными или местными органами власти или их ассоциациями</w:t>
            </w:r>
            <w:r w:rsidRPr="005968E1">
              <w:rPr>
                <w:rFonts w:ascii="Arial" w:hAnsi="Arial" w:cs="Arial"/>
              </w:rPr>
              <w:t xml:space="preserve"> (н</w:t>
            </w:r>
            <w:r w:rsidR="00BA0239">
              <w:rPr>
                <w:rFonts w:ascii="Arial" w:hAnsi="Arial" w:cs="Arial"/>
              </w:rPr>
              <w:t>и</w:t>
            </w:r>
            <w:r w:rsidRPr="005968E1">
              <w:rPr>
                <w:rFonts w:ascii="Arial" w:hAnsi="Arial" w:cs="Arial"/>
              </w:rPr>
              <w:t xml:space="preserve"> польскими, н</w:t>
            </w:r>
            <w:r w:rsidR="00BA0239">
              <w:rPr>
                <w:rFonts w:ascii="Arial" w:hAnsi="Arial" w:cs="Arial"/>
              </w:rPr>
              <w:t>и</w:t>
            </w:r>
            <w:r w:rsidRPr="005968E1">
              <w:rPr>
                <w:rFonts w:ascii="Arial" w:hAnsi="Arial" w:cs="Arial"/>
              </w:rPr>
              <w:t xml:space="preserve"> российскими).</w:t>
            </w:r>
            <w:r w:rsidR="00AC67A5" w:rsidRPr="005968E1">
              <w:rPr>
                <w:rFonts w:ascii="Arial" w:hAnsi="Arial" w:cs="Arial"/>
              </w:rPr>
              <w:t xml:space="preserve"> </w:t>
            </w:r>
            <w:r w:rsidRPr="005968E1">
              <w:rPr>
                <w:rFonts w:ascii="Arial" w:eastAsia="Calibri" w:hAnsi="Arial" w:cs="Arial"/>
              </w:rPr>
              <w:t xml:space="preserve">Другие учреждения должны </w:t>
            </w:r>
            <w:r w:rsidR="00BA0239">
              <w:rPr>
                <w:rFonts w:ascii="Arial" w:eastAsia="Calibri" w:hAnsi="Arial" w:cs="Arial"/>
              </w:rPr>
              <w:t xml:space="preserve">подать </w:t>
            </w:r>
            <w:r w:rsidR="00E037CE">
              <w:rPr>
                <w:rFonts w:ascii="Arial" w:eastAsia="Calibri" w:hAnsi="Arial" w:cs="Arial"/>
              </w:rPr>
              <w:t>данное</w:t>
            </w:r>
            <w:r w:rsidR="00557E2A" w:rsidRPr="005968E1">
              <w:rPr>
                <w:rFonts w:ascii="Arial" w:eastAsia="Calibri" w:hAnsi="Arial" w:cs="Arial"/>
              </w:rPr>
              <w:t xml:space="preserve"> приложение вместе с </w:t>
            </w:r>
            <w:r w:rsidR="00BA0239">
              <w:rPr>
                <w:rFonts w:ascii="Arial" w:eastAsia="Calibri" w:hAnsi="Arial" w:cs="Arial"/>
              </w:rPr>
              <w:t>ф</w:t>
            </w:r>
            <w:r w:rsidR="00AC67A5" w:rsidRPr="005968E1">
              <w:rPr>
                <w:rFonts w:ascii="Arial" w:eastAsia="Calibri" w:hAnsi="Arial" w:cs="Arial"/>
              </w:rPr>
              <w:t>ормой заявки</w:t>
            </w:r>
            <w:r w:rsidR="00557E2A" w:rsidRPr="005968E1">
              <w:rPr>
                <w:rFonts w:ascii="Arial" w:eastAsia="Calibri" w:hAnsi="Arial" w:cs="Arial"/>
              </w:rPr>
              <w:t>.</w:t>
            </w:r>
          </w:p>
        </w:tc>
      </w:tr>
      <w:tr w:rsidR="00326229" w:rsidRPr="005968E1" w:rsidTr="000E11A9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754223">
            <w:pPr>
              <w:ind w:left="34"/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9. </w:t>
            </w:r>
            <w:r w:rsidR="00632ADF" w:rsidRPr="005968E1">
              <w:rPr>
                <w:rFonts w:ascii="Arial" w:hAnsi="Arial" w:cs="Arial"/>
                <w:b/>
              </w:rPr>
              <w:t xml:space="preserve">Как будет оцениваться финансовое положение бенефициара на основании Приложения А3? Есть ли какие-то </w:t>
            </w:r>
            <w:r w:rsidR="00754223">
              <w:rPr>
                <w:rFonts w:ascii="Arial" w:hAnsi="Arial" w:cs="Arial"/>
                <w:b/>
              </w:rPr>
              <w:t>требования (</w:t>
            </w:r>
            <w:r w:rsidR="00632ADF" w:rsidRPr="005968E1">
              <w:rPr>
                <w:rFonts w:ascii="Arial" w:hAnsi="Arial" w:cs="Arial"/>
                <w:b/>
              </w:rPr>
              <w:t xml:space="preserve">например, суммарное значение баланса за последние 3 года не может быть ниже </w:t>
            </w:r>
            <w:r w:rsidR="00754223">
              <w:rPr>
                <w:rFonts w:ascii="Arial" w:hAnsi="Arial" w:cs="Arial"/>
                <w:b/>
              </w:rPr>
              <w:t>д</w:t>
            </w:r>
            <w:r w:rsidR="00632ADF" w:rsidRPr="005968E1">
              <w:rPr>
                <w:rFonts w:ascii="Arial" w:hAnsi="Arial" w:cs="Arial"/>
                <w:b/>
              </w:rPr>
              <w:t>о</w:t>
            </w:r>
            <w:r w:rsidR="00754223">
              <w:rPr>
                <w:rFonts w:ascii="Arial" w:hAnsi="Arial" w:cs="Arial"/>
                <w:b/>
              </w:rPr>
              <w:t xml:space="preserve">ли бенефициара в </w:t>
            </w:r>
            <w:r w:rsidR="00632ADF" w:rsidRPr="005968E1">
              <w:rPr>
                <w:rFonts w:ascii="Arial" w:hAnsi="Arial" w:cs="Arial"/>
                <w:b/>
              </w:rPr>
              <w:t>бюджет</w:t>
            </w:r>
            <w:r w:rsidR="00754223">
              <w:rPr>
                <w:rFonts w:ascii="Arial" w:hAnsi="Arial" w:cs="Arial"/>
                <w:b/>
              </w:rPr>
              <w:t>е</w:t>
            </w:r>
            <w:r w:rsidR="00632ADF" w:rsidRPr="005968E1">
              <w:rPr>
                <w:rFonts w:ascii="Arial" w:hAnsi="Arial" w:cs="Arial"/>
                <w:b/>
              </w:rPr>
              <w:t xml:space="preserve"> проекта </w:t>
            </w:r>
            <w:r w:rsidR="00754223">
              <w:rPr>
                <w:rFonts w:ascii="Arial" w:hAnsi="Arial" w:cs="Arial"/>
                <w:b/>
              </w:rPr>
              <w:t>или другие подобные условия)</w:t>
            </w:r>
            <w:r w:rsidR="00632ADF" w:rsidRPr="005968E1">
              <w:rPr>
                <w:rFonts w:ascii="Arial" w:hAnsi="Arial" w:cs="Arial"/>
                <w:b/>
              </w:rPr>
              <w:t xml:space="preserve">? </w:t>
            </w:r>
            <w:r w:rsidR="00754223">
              <w:rPr>
                <w:rFonts w:ascii="Arial" w:hAnsi="Arial" w:cs="Arial"/>
                <w:b/>
              </w:rPr>
              <w:t xml:space="preserve">Данный вопрос особенно </w:t>
            </w:r>
            <w:r w:rsidR="00632ADF" w:rsidRPr="005968E1">
              <w:rPr>
                <w:rFonts w:ascii="Arial" w:hAnsi="Arial" w:cs="Arial"/>
                <w:b/>
              </w:rPr>
              <w:t>важ</w:t>
            </w:r>
            <w:r w:rsidR="00754223">
              <w:rPr>
                <w:rFonts w:ascii="Arial" w:hAnsi="Arial" w:cs="Arial"/>
                <w:b/>
              </w:rPr>
              <w:t>е</w:t>
            </w:r>
            <w:r w:rsidR="00632ADF" w:rsidRPr="005968E1">
              <w:rPr>
                <w:rFonts w:ascii="Arial" w:hAnsi="Arial" w:cs="Arial"/>
                <w:b/>
              </w:rPr>
              <w:t>н</w:t>
            </w:r>
            <w:r w:rsidR="00754223">
              <w:rPr>
                <w:rFonts w:ascii="Arial" w:hAnsi="Arial" w:cs="Arial"/>
                <w:b/>
              </w:rPr>
              <w:t xml:space="preserve"> в отношении </w:t>
            </w:r>
            <w:r w:rsidR="00632ADF" w:rsidRPr="005968E1">
              <w:rPr>
                <w:rFonts w:ascii="Arial" w:hAnsi="Arial" w:cs="Arial"/>
                <w:b/>
              </w:rPr>
              <w:t>НПО, которые заявляются в качестве ведущих бенефициаров и планируют инфраструктурные мероприятия</w:t>
            </w:r>
            <w:r w:rsidR="00AC67A5" w:rsidRPr="005968E1">
              <w:rPr>
                <w:rFonts w:ascii="Arial" w:hAnsi="Arial" w:cs="Arial"/>
                <w:b/>
              </w:rPr>
              <w:t>.</w:t>
            </w:r>
          </w:p>
        </w:tc>
      </w:tr>
      <w:tr w:rsidR="00326229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632ADF" w:rsidRPr="005700D8" w:rsidRDefault="00632ADF" w:rsidP="00424A22">
            <w:pPr>
              <w:ind w:left="34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 xml:space="preserve">Система оценки проекта будет детально описана в </w:t>
            </w:r>
            <w:r w:rsidR="000E11A9">
              <w:rPr>
                <w:rFonts w:ascii="Arial" w:hAnsi="Arial" w:cs="Arial"/>
              </w:rPr>
              <w:t>«</w:t>
            </w:r>
            <w:r w:rsidRPr="005968E1">
              <w:rPr>
                <w:rFonts w:ascii="Arial" w:hAnsi="Arial" w:cs="Arial"/>
              </w:rPr>
              <w:t>Руководстве по оценке</w:t>
            </w:r>
            <w:r w:rsidR="000E11A9">
              <w:rPr>
                <w:rFonts w:ascii="Arial" w:hAnsi="Arial" w:cs="Arial"/>
              </w:rPr>
              <w:t>»</w:t>
            </w:r>
            <w:r w:rsidRPr="005968E1">
              <w:rPr>
                <w:rFonts w:ascii="Arial" w:hAnsi="Arial" w:cs="Arial"/>
              </w:rPr>
              <w:t xml:space="preserve">, которое будет опубликовано до </w:t>
            </w:r>
            <w:r w:rsidR="00AC67A5" w:rsidRPr="005968E1">
              <w:rPr>
                <w:rFonts w:ascii="Arial" w:hAnsi="Arial" w:cs="Arial"/>
              </w:rPr>
              <w:t>открытия</w:t>
            </w:r>
            <w:r w:rsidRPr="005968E1">
              <w:rPr>
                <w:rFonts w:ascii="Arial" w:hAnsi="Arial" w:cs="Arial"/>
              </w:rPr>
              <w:t xml:space="preserve"> конкурса заявок (в настоящее время документ разрабатывается СТС, после </w:t>
            </w:r>
            <w:r w:rsidR="000E11A9">
              <w:rPr>
                <w:rFonts w:ascii="Arial" w:hAnsi="Arial" w:cs="Arial"/>
              </w:rPr>
              <w:t xml:space="preserve">чего он </w:t>
            </w:r>
            <w:r w:rsidRPr="005968E1">
              <w:rPr>
                <w:rFonts w:ascii="Arial" w:hAnsi="Arial" w:cs="Arial"/>
              </w:rPr>
              <w:t>должен быть одобрен С</w:t>
            </w:r>
            <w:r w:rsidR="00BE0D2E">
              <w:rPr>
                <w:rFonts w:ascii="Arial" w:hAnsi="Arial" w:cs="Arial"/>
              </w:rPr>
              <w:t>овместным мониторинговым комитетом</w:t>
            </w:r>
            <w:r w:rsidRPr="005968E1">
              <w:rPr>
                <w:rFonts w:ascii="Arial" w:hAnsi="Arial" w:cs="Arial"/>
              </w:rPr>
              <w:t>). На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текущий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момент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можно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заключить</w:t>
            </w:r>
            <w:r w:rsidRPr="000F5508">
              <w:rPr>
                <w:rFonts w:ascii="Arial" w:hAnsi="Arial" w:cs="Arial"/>
                <w:lang w:val="en-GB"/>
              </w:rPr>
              <w:t xml:space="preserve">, </w:t>
            </w:r>
            <w:r w:rsidRPr="005968E1">
              <w:rPr>
                <w:rFonts w:ascii="Arial" w:hAnsi="Arial" w:cs="Arial"/>
              </w:rPr>
              <w:t>что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оценка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финансового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потенциала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будет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частью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оценки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Pr="005968E1">
              <w:rPr>
                <w:rFonts w:ascii="Arial" w:hAnsi="Arial" w:cs="Arial"/>
              </w:rPr>
              <w:t>качества</w:t>
            </w:r>
            <w:r w:rsidRPr="000F5508">
              <w:rPr>
                <w:rFonts w:ascii="Arial" w:hAnsi="Arial" w:cs="Arial"/>
                <w:lang w:val="en-GB"/>
              </w:rPr>
              <w:t xml:space="preserve"> </w:t>
            </w:r>
            <w:r w:rsidR="000E11A9">
              <w:rPr>
                <w:rFonts w:ascii="Arial" w:hAnsi="Arial" w:cs="Arial"/>
              </w:rPr>
              <w:t>в</w:t>
            </w:r>
            <w:r w:rsidR="000E11A9" w:rsidRPr="000E11A9">
              <w:rPr>
                <w:rFonts w:ascii="Arial" w:hAnsi="Arial" w:cs="Arial"/>
                <w:lang w:val="en-GB"/>
              </w:rPr>
              <w:t xml:space="preserve"> </w:t>
            </w:r>
            <w:r w:rsidR="000E11A9">
              <w:rPr>
                <w:rFonts w:ascii="Arial" w:hAnsi="Arial" w:cs="Arial"/>
              </w:rPr>
              <w:t>соответствии</w:t>
            </w:r>
            <w:r w:rsidR="000E11A9" w:rsidRPr="000E11A9">
              <w:rPr>
                <w:rFonts w:ascii="Arial" w:hAnsi="Arial" w:cs="Arial"/>
                <w:lang w:val="en-GB"/>
              </w:rPr>
              <w:t xml:space="preserve"> </w:t>
            </w:r>
            <w:r w:rsidR="000E11A9">
              <w:rPr>
                <w:rFonts w:ascii="Arial" w:hAnsi="Arial" w:cs="Arial"/>
              </w:rPr>
              <w:t>с</w:t>
            </w:r>
            <w:r w:rsidR="000E11A9" w:rsidRPr="000E11A9">
              <w:rPr>
                <w:rFonts w:ascii="Arial" w:hAnsi="Arial" w:cs="Arial"/>
                <w:lang w:val="en-GB"/>
              </w:rPr>
              <w:t xml:space="preserve"> </w:t>
            </w:r>
            <w:r w:rsidR="000E11A9">
              <w:rPr>
                <w:rFonts w:ascii="Arial" w:hAnsi="Arial" w:cs="Arial"/>
              </w:rPr>
              <w:t>кр</w:t>
            </w:r>
            <w:r w:rsidRPr="005968E1">
              <w:rPr>
                <w:rFonts w:ascii="Arial" w:hAnsi="Arial" w:cs="Arial"/>
              </w:rPr>
              <w:t>итерием</w:t>
            </w:r>
            <w:r w:rsidR="000E11A9">
              <w:rPr>
                <w:rFonts w:ascii="Arial" w:hAnsi="Arial" w:cs="Arial"/>
              </w:rPr>
              <w:t>и</w:t>
            </w:r>
            <w:r w:rsidRPr="000F5508">
              <w:rPr>
                <w:rFonts w:ascii="Arial" w:hAnsi="Arial" w:cs="Arial"/>
                <w:lang w:val="en-GB"/>
              </w:rPr>
              <w:t xml:space="preserve"> 1b) </w:t>
            </w:r>
            <w:r w:rsidRPr="000F5508">
              <w:rPr>
                <w:rFonts w:ascii="Arial" w:hAnsi="Arial" w:cs="Arial"/>
                <w:i/>
                <w:lang w:val="en-GB"/>
              </w:rPr>
              <w:t>The lead beneficiary and other beneficiaries demonstrate sufficient technical expertise and management capacity, including staff, equipment, knowledge and ability to handle the budget of the project</w:t>
            </w:r>
            <w:r w:rsidRPr="000F5508">
              <w:rPr>
                <w:rFonts w:ascii="Arial" w:hAnsi="Arial" w:cs="Arial"/>
                <w:lang w:val="en-GB"/>
              </w:rPr>
              <w:t xml:space="preserve">) </w:t>
            </w:r>
            <w:r w:rsidRPr="005968E1">
              <w:rPr>
                <w:rFonts w:ascii="Arial" w:hAnsi="Arial" w:cs="Arial"/>
              </w:rPr>
              <w:t>и</w:t>
            </w:r>
            <w:r w:rsidRPr="000F5508">
              <w:rPr>
                <w:rFonts w:ascii="Arial" w:hAnsi="Arial" w:cs="Arial"/>
                <w:lang w:val="en-GB"/>
              </w:rPr>
              <w:t xml:space="preserve"> 4a) </w:t>
            </w:r>
            <w:r w:rsidRPr="000F5508">
              <w:rPr>
                <w:rFonts w:ascii="Arial" w:hAnsi="Arial" w:cs="Arial"/>
                <w:i/>
                <w:lang w:val="en-GB"/>
              </w:rPr>
              <w:t xml:space="preserve">Sufficient and reasonable resources are planned to ensure project implementation (both the lead beneficiary and other beneficiaries who financially contribute </w:t>
            </w:r>
            <w:r w:rsidR="00241E40" w:rsidRPr="000F5508">
              <w:rPr>
                <w:rFonts w:ascii="Arial" w:hAnsi="Arial" w:cs="Arial"/>
                <w:i/>
                <w:lang w:val="en-GB"/>
              </w:rPr>
              <w:t>d</w:t>
            </w:r>
            <w:r w:rsidRPr="000F5508">
              <w:rPr>
                <w:rFonts w:ascii="Arial" w:hAnsi="Arial" w:cs="Arial"/>
                <w:i/>
                <w:lang w:val="en-GB"/>
              </w:rPr>
              <w:t>o the project have stable and sufficient sources of financing</w:t>
            </w:r>
            <w:r w:rsidR="000E11A9" w:rsidRPr="000E11A9">
              <w:rPr>
                <w:rFonts w:ascii="Arial" w:hAnsi="Arial" w:cs="Arial"/>
                <w:i/>
                <w:lang w:val="en-GB"/>
              </w:rPr>
              <w:t xml:space="preserve"> </w:t>
            </w:r>
            <w:r w:rsidR="000E11A9" w:rsidRPr="000E11A9">
              <w:rPr>
                <w:rFonts w:ascii="Arial" w:hAnsi="Arial" w:cs="Arial"/>
                <w:lang w:val="en-GB"/>
              </w:rPr>
              <w:t>(</w:t>
            </w:r>
            <w:r w:rsidR="000E11A9">
              <w:rPr>
                <w:rFonts w:ascii="Arial" w:hAnsi="Arial" w:cs="Arial"/>
              </w:rPr>
              <w:t>см</w:t>
            </w:r>
            <w:r w:rsidR="000E11A9" w:rsidRPr="000E11A9">
              <w:rPr>
                <w:rFonts w:ascii="Arial" w:hAnsi="Arial" w:cs="Arial"/>
                <w:lang w:val="en-GB"/>
              </w:rPr>
              <w:t xml:space="preserve">. </w:t>
            </w:r>
            <w:r w:rsidR="000E11A9">
              <w:rPr>
                <w:rFonts w:ascii="Arial" w:hAnsi="Arial" w:cs="Arial"/>
              </w:rPr>
              <w:t>«Контрольные листы для оценки формы заявок»</w:t>
            </w:r>
            <w:r w:rsidR="000E11A9" w:rsidRPr="005700D8">
              <w:rPr>
                <w:rFonts w:ascii="Arial" w:hAnsi="Arial" w:cs="Arial"/>
              </w:rPr>
              <w:t>)</w:t>
            </w:r>
            <w:r w:rsidRPr="005700D8">
              <w:rPr>
                <w:rFonts w:ascii="Arial" w:hAnsi="Arial" w:cs="Arial"/>
              </w:rPr>
              <w:t>.</w:t>
            </w:r>
          </w:p>
          <w:p w:rsidR="00632ADF" w:rsidRPr="005968E1" w:rsidRDefault="00632ADF" w:rsidP="00424A22">
            <w:pPr>
              <w:ind w:left="34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 xml:space="preserve">Анализ финансового потенциала будет направлен на проверку соответствия запланированных каждым бенефициаром расходов и мероприятий его финансовому положению. Это означает, что в случае, когда негосударственная организация (например, НПО) имеет относительно низкий финансовый потенциал и планирует совершить что-то, что превышает ее финансовые возможности, такая ситуация будет причиной </w:t>
            </w:r>
            <w:r w:rsidR="000E11A9">
              <w:rPr>
                <w:rFonts w:ascii="Arial" w:hAnsi="Arial" w:cs="Arial"/>
              </w:rPr>
              <w:t xml:space="preserve">снижения </w:t>
            </w:r>
            <w:r w:rsidRPr="005968E1">
              <w:rPr>
                <w:rFonts w:ascii="Arial" w:hAnsi="Arial" w:cs="Arial"/>
              </w:rPr>
              <w:t>оценки по критерию финансового потенциала.</w:t>
            </w:r>
          </w:p>
          <w:p w:rsidR="00326229" w:rsidRPr="005968E1" w:rsidRDefault="00632ADF" w:rsidP="00BE0D2E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</w:rPr>
              <w:t>Более того</w:t>
            </w:r>
            <w:r w:rsidR="00BE0D2E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н</w:t>
            </w:r>
            <w:r w:rsidR="00BE0D2E">
              <w:rPr>
                <w:rFonts w:ascii="Arial" w:hAnsi="Arial" w:cs="Arial"/>
              </w:rPr>
              <w:t xml:space="preserve">еобходимо </w:t>
            </w:r>
            <w:r w:rsidRPr="005968E1">
              <w:rPr>
                <w:rFonts w:ascii="Arial" w:hAnsi="Arial" w:cs="Arial"/>
              </w:rPr>
              <w:t>подчеркнуть, что ведущий бенефициар предоставляет декларацию о подтверждении наличия общего софинансирования у ведущего бенефициара и бенефициара(-ов), которое должно составлять минимум 10% от общих допустимых расходов</w:t>
            </w:r>
            <w:r w:rsidR="00BE0D2E" w:rsidRPr="00BE0D2E">
              <w:rPr>
                <w:rFonts w:ascii="Arial" w:hAnsi="Arial" w:cs="Arial"/>
              </w:rPr>
              <w:t xml:space="preserve"> (</w:t>
            </w:r>
            <w:r w:rsidRPr="005968E1">
              <w:rPr>
                <w:rFonts w:ascii="Arial" w:hAnsi="Arial" w:cs="Arial"/>
              </w:rPr>
              <w:t>в соответствии с Приложением А4</w:t>
            </w:r>
            <w:r w:rsidR="00BE0D2E" w:rsidRPr="00BE0D2E">
              <w:rPr>
                <w:rFonts w:ascii="Arial" w:hAnsi="Arial" w:cs="Arial"/>
              </w:rPr>
              <w:t>)</w:t>
            </w:r>
            <w:r w:rsidRPr="005968E1">
              <w:rPr>
                <w:rFonts w:ascii="Arial" w:hAnsi="Arial" w:cs="Arial"/>
              </w:rPr>
              <w:t>. Это значит, что каждой организации (особенно неправительственной) рекоменд</w:t>
            </w:r>
            <w:r w:rsidR="000E11A9">
              <w:rPr>
                <w:rFonts w:ascii="Arial" w:hAnsi="Arial" w:cs="Arial"/>
              </w:rPr>
              <w:t xml:space="preserve">уется </w:t>
            </w:r>
            <w:r w:rsidRPr="005968E1">
              <w:rPr>
                <w:rFonts w:ascii="Arial" w:hAnsi="Arial" w:cs="Arial"/>
              </w:rPr>
              <w:t xml:space="preserve">тщательно проанализировать свое финансовое положение не только с точки зрения собственных инвестиционных действий, но </w:t>
            </w:r>
            <w:r w:rsidR="000E11A9">
              <w:rPr>
                <w:rFonts w:ascii="Arial" w:hAnsi="Arial" w:cs="Arial"/>
              </w:rPr>
              <w:t xml:space="preserve">и </w:t>
            </w:r>
            <w:r w:rsidRPr="005968E1">
              <w:rPr>
                <w:rFonts w:ascii="Arial" w:hAnsi="Arial" w:cs="Arial"/>
              </w:rPr>
              <w:t>принимая во внимание вышеуказанную декларацию в Приложении А4.</w:t>
            </w:r>
          </w:p>
        </w:tc>
      </w:tr>
      <w:tr w:rsidR="00326229" w:rsidRPr="005968E1" w:rsidTr="000E11A9">
        <w:trPr>
          <w:trHeight w:val="550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BE0D2E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632ADF" w:rsidRPr="005968E1">
              <w:rPr>
                <w:rFonts w:ascii="Arial" w:hAnsi="Arial" w:cs="Arial"/>
                <w:b/>
              </w:rPr>
              <w:t>Как финансов</w:t>
            </w:r>
            <w:r w:rsidR="00C40EEE">
              <w:rPr>
                <w:rFonts w:ascii="Arial" w:hAnsi="Arial" w:cs="Arial"/>
                <w:b/>
              </w:rPr>
              <w:t>ая</w:t>
            </w:r>
            <w:r w:rsidR="00632ADF" w:rsidRPr="005968E1">
              <w:rPr>
                <w:rFonts w:ascii="Arial" w:hAnsi="Arial" w:cs="Arial"/>
                <w:b/>
              </w:rPr>
              <w:t xml:space="preserve"> </w:t>
            </w:r>
            <w:r w:rsidR="00C40EEE">
              <w:rPr>
                <w:rFonts w:ascii="Arial" w:hAnsi="Arial" w:cs="Arial"/>
                <w:b/>
              </w:rPr>
              <w:t>стабильность</w:t>
            </w:r>
            <w:r w:rsidR="00632ADF" w:rsidRPr="005968E1">
              <w:rPr>
                <w:rFonts w:ascii="Arial" w:hAnsi="Arial" w:cs="Arial"/>
                <w:b/>
              </w:rPr>
              <w:t xml:space="preserve"> </w:t>
            </w:r>
            <w:r w:rsidR="00884F30">
              <w:rPr>
                <w:rFonts w:ascii="Arial" w:hAnsi="Arial" w:cs="Arial"/>
                <w:b/>
              </w:rPr>
              <w:t>(например, через другие фин</w:t>
            </w:r>
            <w:r w:rsidR="00632ADF" w:rsidRPr="005968E1">
              <w:rPr>
                <w:rFonts w:ascii="Arial" w:hAnsi="Arial" w:cs="Arial"/>
                <w:b/>
              </w:rPr>
              <w:t>ансовые инструменты или займы для покрытия собственного вклада) буд</w:t>
            </w:r>
            <w:r w:rsidR="00884F30">
              <w:rPr>
                <w:rFonts w:ascii="Arial" w:hAnsi="Arial" w:cs="Arial"/>
                <w:b/>
              </w:rPr>
              <w:t>е</w:t>
            </w:r>
            <w:r w:rsidR="00632ADF" w:rsidRPr="005968E1">
              <w:rPr>
                <w:rFonts w:ascii="Arial" w:hAnsi="Arial" w:cs="Arial"/>
                <w:b/>
              </w:rPr>
              <w:t xml:space="preserve">т оцениваться на основании </w:t>
            </w:r>
            <w:r w:rsidR="00884F30">
              <w:rPr>
                <w:rFonts w:ascii="Arial" w:hAnsi="Arial" w:cs="Arial"/>
                <w:b/>
              </w:rPr>
              <w:t xml:space="preserve">информации, предоставленной в </w:t>
            </w:r>
            <w:r w:rsidR="00BE0D2E">
              <w:rPr>
                <w:rFonts w:ascii="Arial" w:hAnsi="Arial" w:cs="Arial"/>
                <w:b/>
              </w:rPr>
              <w:t>форме заявки</w:t>
            </w:r>
            <w:r w:rsidR="00BE0D2E" w:rsidRPr="005968E1">
              <w:rPr>
                <w:rFonts w:ascii="Arial" w:hAnsi="Arial" w:cs="Arial"/>
                <w:b/>
              </w:rPr>
              <w:t xml:space="preserve"> </w:t>
            </w:r>
            <w:r w:rsidR="00BE0D2E">
              <w:rPr>
                <w:rFonts w:ascii="Arial" w:hAnsi="Arial" w:cs="Arial"/>
                <w:b/>
              </w:rPr>
              <w:t xml:space="preserve">в </w:t>
            </w:r>
            <w:r w:rsidR="00632ADF" w:rsidRPr="005968E1">
              <w:rPr>
                <w:rFonts w:ascii="Arial" w:hAnsi="Arial" w:cs="Arial"/>
                <w:b/>
              </w:rPr>
              <w:t>пункт</w:t>
            </w:r>
            <w:r w:rsidR="00884F30">
              <w:rPr>
                <w:rFonts w:ascii="Arial" w:hAnsi="Arial" w:cs="Arial"/>
                <w:b/>
              </w:rPr>
              <w:t>ах</w:t>
            </w:r>
            <w:r w:rsidR="00632ADF" w:rsidRPr="005968E1">
              <w:rPr>
                <w:rFonts w:ascii="Arial" w:hAnsi="Arial" w:cs="Arial"/>
                <w:b/>
              </w:rPr>
              <w:t xml:space="preserve"> 9.4 и 10.4? </w:t>
            </w:r>
            <w:r w:rsidR="00884F30">
              <w:rPr>
                <w:rFonts w:ascii="Arial" w:hAnsi="Arial" w:cs="Arial"/>
                <w:b/>
              </w:rPr>
              <w:t xml:space="preserve">Необходимо ли </w:t>
            </w:r>
            <w:r w:rsidR="00BE0D2E">
              <w:rPr>
                <w:rFonts w:ascii="Arial" w:hAnsi="Arial" w:cs="Arial"/>
                <w:b/>
              </w:rPr>
              <w:t xml:space="preserve">бенефициарам </w:t>
            </w:r>
            <w:r w:rsidR="00632ADF" w:rsidRPr="005968E1">
              <w:rPr>
                <w:rFonts w:ascii="Arial" w:hAnsi="Arial" w:cs="Arial"/>
                <w:b/>
              </w:rPr>
              <w:t>предостав</w:t>
            </w:r>
            <w:r w:rsidR="00884F30">
              <w:rPr>
                <w:rFonts w:ascii="Arial" w:hAnsi="Arial" w:cs="Arial"/>
                <w:b/>
              </w:rPr>
              <w:t>ля</w:t>
            </w:r>
            <w:r w:rsidR="00632ADF" w:rsidRPr="005968E1">
              <w:rPr>
                <w:rFonts w:ascii="Arial" w:hAnsi="Arial" w:cs="Arial"/>
                <w:b/>
              </w:rPr>
              <w:t xml:space="preserve">ть </w:t>
            </w:r>
            <w:r w:rsidR="00884F30">
              <w:rPr>
                <w:rFonts w:ascii="Arial" w:hAnsi="Arial" w:cs="Arial"/>
                <w:b/>
              </w:rPr>
              <w:t xml:space="preserve">какие-либо дополнительные финансовые </w:t>
            </w:r>
            <w:r w:rsidR="00632ADF" w:rsidRPr="005968E1">
              <w:rPr>
                <w:rFonts w:ascii="Arial" w:hAnsi="Arial" w:cs="Arial"/>
                <w:b/>
              </w:rPr>
              <w:t>документы?</w:t>
            </w:r>
          </w:p>
        </w:tc>
      </w:tr>
      <w:tr w:rsidR="00326229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326229" w:rsidRPr="005968E1" w:rsidRDefault="00632ADF" w:rsidP="00884F30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</w:rPr>
              <w:t xml:space="preserve">Бенефициары должны описать источники финансирования собственного вклада (например, получение средств с помощью иных финансовых инструментов или займов) в </w:t>
            </w:r>
            <w:r w:rsidR="00884F30">
              <w:rPr>
                <w:rFonts w:ascii="Arial" w:hAnsi="Arial" w:cs="Arial"/>
              </w:rPr>
              <w:t xml:space="preserve">форме заявки в пунктах </w:t>
            </w:r>
            <w:r w:rsidRPr="005968E1">
              <w:rPr>
                <w:rFonts w:ascii="Arial" w:hAnsi="Arial" w:cs="Arial"/>
              </w:rPr>
              <w:t>9.4 (ведущий бенефициар) и 10.4 (иные бенефициары). Предоставлять документы, подтверждающие источники собственного софинансирования</w:t>
            </w:r>
            <w:r w:rsidR="00884F30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не обязательно. Однако такая возможность </w:t>
            </w:r>
            <w:r w:rsidR="00884F30">
              <w:rPr>
                <w:rFonts w:ascii="Arial" w:hAnsi="Arial" w:cs="Arial"/>
              </w:rPr>
              <w:t xml:space="preserve">существует, и в этом случае </w:t>
            </w:r>
            <w:r w:rsidRPr="005968E1">
              <w:rPr>
                <w:rFonts w:ascii="Arial" w:hAnsi="Arial" w:cs="Arial"/>
              </w:rPr>
              <w:t xml:space="preserve">документы могут быть предоставлены вместе с </w:t>
            </w:r>
            <w:r w:rsidR="00884F30">
              <w:rPr>
                <w:rFonts w:ascii="Arial" w:hAnsi="Arial" w:cs="Arial"/>
              </w:rPr>
              <w:t xml:space="preserve">формой заявки </w:t>
            </w:r>
            <w:r w:rsidRPr="005968E1">
              <w:rPr>
                <w:rFonts w:ascii="Arial" w:hAnsi="Arial" w:cs="Arial"/>
              </w:rPr>
              <w:t>в ка</w:t>
            </w:r>
            <w:r w:rsidR="00292D49" w:rsidRPr="005968E1">
              <w:rPr>
                <w:rFonts w:ascii="Arial" w:hAnsi="Arial" w:cs="Arial"/>
              </w:rPr>
              <w:t>честве дополнительных приложений</w:t>
            </w:r>
            <w:r w:rsidRPr="005968E1">
              <w:rPr>
                <w:rFonts w:ascii="Arial" w:hAnsi="Arial" w:cs="Arial"/>
              </w:rPr>
              <w:t xml:space="preserve"> (например, </w:t>
            </w:r>
            <w:r w:rsidR="00BE0D2E">
              <w:rPr>
                <w:rFonts w:ascii="Arial" w:hAnsi="Arial" w:cs="Arial"/>
              </w:rPr>
              <w:t xml:space="preserve">Приложение </w:t>
            </w:r>
            <w:r w:rsidRPr="005968E1">
              <w:rPr>
                <w:rFonts w:ascii="Arial" w:hAnsi="Arial" w:cs="Arial"/>
              </w:rPr>
              <w:t>А15).</w:t>
            </w:r>
          </w:p>
        </w:tc>
      </w:tr>
      <w:tr w:rsidR="00326229" w:rsidRPr="005968E1" w:rsidTr="000E11A9">
        <w:trPr>
          <w:trHeight w:val="526"/>
        </w:trPr>
        <w:tc>
          <w:tcPr>
            <w:tcW w:w="10144" w:type="dxa"/>
            <w:shd w:val="clear" w:color="auto" w:fill="D9D9D9" w:themeFill="background1" w:themeFillShade="D9"/>
          </w:tcPr>
          <w:p w:rsidR="00326229" w:rsidRPr="005968E1" w:rsidRDefault="00326229" w:rsidP="00F35767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11. </w:t>
            </w:r>
            <w:r w:rsidR="00632ADF" w:rsidRPr="005968E1">
              <w:rPr>
                <w:rFonts w:ascii="Arial" w:hAnsi="Arial" w:cs="Arial"/>
                <w:b/>
              </w:rPr>
              <w:t xml:space="preserve">Можно ли предоставить вместе с </w:t>
            </w:r>
            <w:r w:rsidR="00F35767">
              <w:rPr>
                <w:rFonts w:ascii="Arial" w:hAnsi="Arial" w:cs="Arial"/>
                <w:b/>
              </w:rPr>
              <w:t xml:space="preserve">формой заявки </w:t>
            </w:r>
            <w:r w:rsidR="00632ADF" w:rsidRPr="005968E1">
              <w:rPr>
                <w:rFonts w:ascii="Arial" w:hAnsi="Arial" w:cs="Arial"/>
                <w:b/>
              </w:rPr>
              <w:t xml:space="preserve">запрос на </w:t>
            </w:r>
            <w:r w:rsidR="00F35767">
              <w:rPr>
                <w:rFonts w:ascii="Arial" w:hAnsi="Arial" w:cs="Arial"/>
                <w:b/>
              </w:rPr>
              <w:t xml:space="preserve">получение </w:t>
            </w:r>
            <w:r w:rsidR="00632ADF" w:rsidRPr="005968E1">
              <w:rPr>
                <w:rFonts w:ascii="Arial" w:hAnsi="Arial" w:cs="Arial"/>
                <w:b/>
              </w:rPr>
              <w:t>разрешения на строительство в качестве Приложения А9?</w:t>
            </w:r>
          </w:p>
        </w:tc>
      </w:tr>
      <w:tr w:rsidR="00632ADF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632ADF" w:rsidRPr="005968E1" w:rsidRDefault="00632ADF" w:rsidP="00424A22">
            <w:pPr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 xml:space="preserve">В рамках Приложения А9 (которое </w:t>
            </w:r>
            <w:r w:rsidR="00F35767">
              <w:rPr>
                <w:rFonts w:ascii="Arial" w:hAnsi="Arial" w:cs="Arial"/>
              </w:rPr>
              <w:t xml:space="preserve">будет </w:t>
            </w:r>
            <w:r w:rsidRPr="005968E1">
              <w:rPr>
                <w:rFonts w:ascii="Arial" w:hAnsi="Arial" w:cs="Arial"/>
              </w:rPr>
              <w:t xml:space="preserve">автоматически генерироваться </w:t>
            </w:r>
            <w:r w:rsidR="00F35767">
              <w:rPr>
                <w:rFonts w:ascii="Arial" w:hAnsi="Arial" w:cs="Arial"/>
              </w:rPr>
              <w:t>в онлайн-системе</w:t>
            </w:r>
            <w:r w:rsidRPr="005968E1">
              <w:rPr>
                <w:rFonts w:ascii="Arial" w:hAnsi="Arial" w:cs="Arial"/>
              </w:rPr>
              <w:t>) бенефициары, планирующие реализовывать инфраструктурные мероприятия, должны будут заполнить декларацию и выбрать одну из следующих опций:</w:t>
            </w:r>
          </w:p>
          <w:p w:rsidR="00632ADF" w:rsidRPr="005968E1" w:rsidRDefault="00632ADF" w:rsidP="00424A22">
            <w:pPr>
              <w:pStyle w:val="Akapitzlist2"/>
              <w:numPr>
                <w:ilvl w:val="0"/>
                <w:numId w:val="5"/>
              </w:numPr>
              <w:ind w:left="291" w:hanging="142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>в случае, когда планируемые мероприятия требуют разрешения на строительство или эквивалент</w:t>
            </w:r>
            <w:r w:rsidR="00F35767">
              <w:rPr>
                <w:rFonts w:ascii="Arial" w:hAnsi="Arial" w:cs="Arial"/>
              </w:rPr>
              <w:t>а</w:t>
            </w:r>
            <w:r w:rsidRPr="005968E1">
              <w:rPr>
                <w:rFonts w:ascii="Arial" w:hAnsi="Arial" w:cs="Arial"/>
              </w:rPr>
              <w:t xml:space="preserve"> (например, </w:t>
            </w:r>
            <w:r w:rsidR="007C1EA0" w:rsidRPr="005968E1">
              <w:rPr>
                <w:rFonts w:ascii="Arial" w:hAnsi="Arial" w:cs="Arial"/>
              </w:rPr>
              <w:t xml:space="preserve">при </w:t>
            </w:r>
            <w:r w:rsidRPr="005968E1">
              <w:rPr>
                <w:rFonts w:ascii="Arial" w:hAnsi="Arial" w:cs="Arial"/>
              </w:rPr>
              <w:t>наличи</w:t>
            </w:r>
            <w:r w:rsidR="007C1EA0" w:rsidRPr="005968E1">
              <w:rPr>
                <w:rFonts w:ascii="Arial" w:hAnsi="Arial" w:cs="Arial"/>
              </w:rPr>
              <w:t>и</w:t>
            </w:r>
            <w:r w:rsidRPr="005968E1">
              <w:rPr>
                <w:rFonts w:ascii="Arial" w:hAnsi="Arial" w:cs="Arial"/>
              </w:rPr>
              <w:t xml:space="preserve"> компонента «работы») и действующее разрешение на строительство/эквивалент готово</w:t>
            </w:r>
            <w:r w:rsidR="00F35767">
              <w:rPr>
                <w:rFonts w:ascii="Arial" w:hAnsi="Arial" w:cs="Arial"/>
              </w:rPr>
              <w:t xml:space="preserve">, оно должно быть </w:t>
            </w:r>
            <w:r w:rsidRPr="005968E1">
              <w:rPr>
                <w:rFonts w:ascii="Arial" w:hAnsi="Arial" w:cs="Arial"/>
              </w:rPr>
              <w:t>прилож</w:t>
            </w:r>
            <w:r w:rsidR="00F35767">
              <w:rPr>
                <w:rFonts w:ascii="Arial" w:hAnsi="Arial" w:cs="Arial"/>
              </w:rPr>
              <w:t>ено</w:t>
            </w:r>
            <w:r w:rsidRPr="005968E1">
              <w:rPr>
                <w:rFonts w:ascii="Arial" w:hAnsi="Arial" w:cs="Arial"/>
              </w:rPr>
              <w:t xml:space="preserve"> к </w:t>
            </w:r>
            <w:r w:rsidR="00F35767">
              <w:rPr>
                <w:rFonts w:ascii="Arial" w:hAnsi="Arial" w:cs="Arial"/>
              </w:rPr>
              <w:t>форме заявки</w:t>
            </w:r>
            <w:r w:rsidRPr="005968E1">
              <w:rPr>
                <w:rFonts w:ascii="Arial" w:hAnsi="Arial" w:cs="Arial"/>
              </w:rPr>
              <w:t xml:space="preserve">; если требуемое разрешение/эквивалент не готово, </w:t>
            </w:r>
            <w:r w:rsidR="00F35767">
              <w:rPr>
                <w:rFonts w:ascii="Arial" w:hAnsi="Arial" w:cs="Arial"/>
              </w:rPr>
              <w:t xml:space="preserve">то </w:t>
            </w:r>
            <w:r w:rsidRPr="005968E1">
              <w:rPr>
                <w:rFonts w:ascii="Arial" w:hAnsi="Arial" w:cs="Arial"/>
              </w:rPr>
              <w:t>б</w:t>
            </w:r>
            <w:r w:rsidR="007C1EA0" w:rsidRPr="005968E1">
              <w:rPr>
                <w:rFonts w:ascii="Arial" w:hAnsi="Arial" w:cs="Arial"/>
              </w:rPr>
              <w:t>енефициар декларирует, что пред</w:t>
            </w:r>
            <w:r w:rsidR="00F35767">
              <w:rPr>
                <w:rFonts w:ascii="Arial" w:hAnsi="Arial" w:cs="Arial"/>
              </w:rPr>
              <w:t>о</w:t>
            </w:r>
            <w:r w:rsidRPr="005968E1">
              <w:rPr>
                <w:rFonts w:ascii="Arial" w:hAnsi="Arial" w:cs="Arial"/>
              </w:rPr>
              <w:t>ставит соответствующий документ в случае, если проект будет признан победителем, в срок, указанный в письме-уведомлении о победе в конкурсе, не позднее 3 месяцев от даты письма;</w:t>
            </w:r>
          </w:p>
          <w:p w:rsidR="00632ADF" w:rsidRPr="005968E1" w:rsidRDefault="00F35767" w:rsidP="00F35767">
            <w:pPr>
              <w:pStyle w:val="Akapitzlist2"/>
              <w:numPr>
                <w:ilvl w:val="0"/>
                <w:numId w:val="5"/>
              </w:numPr>
              <w:ind w:left="291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случае, когда планируемые </w:t>
            </w:r>
            <w:r w:rsidR="00632ADF" w:rsidRPr="005968E1">
              <w:rPr>
                <w:rFonts w:ascii="Arial" w:hAnsi="Arial" w:cs="Arial"/>
              </w:rPr>
              <w:t>мероприятия не требуют разрешения на строительство или его эквивалент</w:t>
            </w:r>
            <w:r>
              <w:rPr>
                <w:rFonts w:ascii="Arial" w:hAnsi="Arial" w:cs="Arial"/>
              </w:rPr>
              <w:t>а</w:t>
            </w:r>
            <w:r w:rsidR="00632ADF" w:rsidRPr="005968E1">
              <w:rPr>
                <w:rFonts w:ascii="Arial" w:hAnsi="Arial" w:cs="Arial"/>
              </w:rPr>
              <w:t xml:space="preserve"> согласно соответствующ</w:t>
            </w:r>
            <w:r w:rsidR="007C1EA0" w:rsidRPr="005968E1">
              <w:rPr>
                <w:rFonts w:ascii="Arial" w:hAnsi="Arial" w:cs="Arial"/>
              </w:rPr>
              <w:t>ему</w:t>
            </w:r>
            <w:r w:rsidR="00632ADF" w:rsidRPr="005968E1">
              <w:rPr>
                <w:rFonts w:ascii="Arial" w:hAnsi="Arial" w:cs="Arial"/>
              </w:rPr>
              <w:t xml:space="preserve"> национальному законодательству</w:t>
            </w:r>
            <w:r>
              <w:rPr>
                <w:rFonts w:ascii="Arial" w:hAnsi="Arial" w:cs="Arial"/>
              </w:rPr>
              <w:t>, бенефициар отмечает соответствующую вторую опцию</w:t>
            </w:r>
            <w:r w:rsidR="00632ADF" w:rsidRPr="005968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Приложении А9 </w:t>
            </w:r>
            <w:r w:rsidR="00632ADF" w:rsidRPr="005968E1">
              <w:rPr>
                <w:rFonts w:ascii="Arial" w:hAnsi="Arial" w:cs="Arial"/>
              </w:rPr>
              <w:t xml:space="preserve">(в </w:t>
            </w:r>
            <w:r>
              <w:rPr>
                <w:rFonts w:ascii="Arial" w:hAnsi="Arial" w:cs="Arial"/>
              </w:rPr>
              <w:t xml:space="preserve">данном </w:t>
            </w:r>
            <w:r w:rsidR="00632ADF" w:rsidRPr="005968E1">
              <w:rPr>
                <w:rFonts w:ascii="Arial" w:hAnsi="Arial" w:cs="Arial"/>
              </w:rPr>
              <w:t>случае нужно предоставить ссылку на национальн</w:t>
            </w:r>
            <w:r>
              <w:rPr>
                <w:rFonts w:ascii="Arial" w:hAnsi="Arial" w:cs="Arial"/>
              </w:rPr>
              <w:t xml:space="preserve">ое </w:t>
            </w:r>
            <w:r w:rsidR="00632ADF" w:rsidRPr="005968E1">
              <w:rPr>
                <w:rFonts w:ascii="Arial" w:hAnsi="Arial" w:cs="Arial"/>
              </w:rPr>
              <w:t>законодатель</w:t>
            </w:r>
            <w:r>
              <w:rPr>
                <w:rFonts w:ascii="Arial" w:hAnsi="Arial" w:cs="Arial"/>
              </w:rPr>
              <w:t>ство, регламентирующее отсутствие необходимости получения разрешения на строительство или его эквивалента</w:t>
            </w:r>
            <w:r w:rsidR="00632ADF" w:rsidRPr="005968E1">
              <w:rPr>
                <w:rFonts w:ascii="Arial" w:hAnsi="Arial" w:cs="Arial"/>
              </w:rPr>
              <w:t>).</w:t>
            </w:r>
          </w:p>
        </w:tc>
      </w:tr>
      <w:tr w:rsidR="00632ADF" w:rsidRPr="005968E1" w:rsidTr="000E11A9">
        <w:trPr>
          <w:trHeight w:val="825"/>
        </w:trPr>
        <w:tc>
          <w:tcPr>
            <w:tcW w:w="10144" w:type="dxa"/>
            <w:shd w:val="clear" w:color="auto" w:fill="D9D9D9" w:themeFill="background1" w:themeFillShade="D9"/>
          </w:tcPr>
          <w:p w:rsidR="00632ADF" w:rsidRPr="005968E1" w:rsidRDefault="00632ADF" w:rsidP="00BF493F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t xml:space="preserve">12. Ограничен ли лимит получения </w:t>
            </w:r>
            <w:r w:rsidR="00BF493F">
              <w:rPr>
                <w:rFonts w:ascii="Arial" w:hAnsi="Arial" w:cs="Arial"/>
                <w:b/>
              </w:rPr>
              <w:t>дохода</w:t>
            </w:r>
            <w:r w:rsidRPr="005968E1">
              <w:rPr>
                <w:rFonts w:ascii="Arial" w:hAnsi="Arial" w:cs="Arial"/>
                <w:b/>
              </w:rPr>
              <w:t xml:space="preserve"> мероприятиями проекта размером собственного вклада только для периода реализации проекта</w:t>
            </w:r>
            <w:r w:rsidR="00BF493F">
              <w:rPr>
                <w:rFonts w:ascii="Arial" w:hAnsi="Arial" w:cs="Arial"/>
                <w:b/>
              </w:rPr>
              <w:t>,</w:t>
            </w:r>
            <w:r w:rsidRPr="005968E1">
              <w:rPr>
                <w:rFonts w:ascii="Arial" w:hAnsi="Arial" w:cs="Arial"/>
                <w:b/>
              </w:rPr>
              <w:t xml:space="preserve"> или он распространяется на 5 последующих лет после завершения проекта?</w:t>
            </w:r>
          </w:p>
        </w:tc>
      </w:tr>
      <w:tr w:rsidR="00632ADF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632ADF" w:rsidRPr="005968E1" w:rsidRDefault="00632ADF" w:rsidP="00BF493F">
            <w:pPr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 xml:space="preserve">На основании применимых на настоящий момент правил в Программе Польша-Россия и </w:t>
            </w:r>
            <w:r w:rsidR="00F35767">
              <w:rPr>
                <w:rFonts w:ascii="Arial" w:hAnsi="Arial" w:cs="Arial"/>
              </w:rPr>
              <w:t xml:space="preserve">с учетом </w:t>
            </w:r>
            <w:r w:rsidR="00740E08">
              <w:rPr>
                <w:rFonts w:ascii="Arial" w:hAnsi="Arial" w:cs="Arial"/>
              </w:rPr>
              <w:t>законодательной базы</w:t>
            </w:r>
            <w:r w:rsidRPr="005968E1">
              <w:rPr>
                <w:rFonts w:ascii="Arial" w:hAnsi="Arial" w:cs="Arial"/>
              </w:rPr>
              <w:t xml:space="preserve"> </w:t>
            </w:r>
            <w:r w:rsidR="00740E08">
              <w:rPr>
                <w:rFonts w:ascii="Arial" w:hAnsi="Arial" w:cs="Arial"/>
              </w:rPr>
              <w:t xml:space="preserve">в </w:t>
            </w:r>
            <w:r w:rsidRPr="005968E1">
              <w:rPr>
                <w:rFonts w:ascii="Arial" w:hAnsi="Arial" w:cs="Arial"/>
              </w:rPr>
              <w:t>отно</w:t>
            </w:r>
            <w:r w:rsidR="00740E08">
              <w:rPr>
                <w:rFonts w:ascii="Arial" w:hAnsi="Arial" w:cs="Arial"/>
              </w:rPr>
              <w:t xml:space="preserve">шении к </w:t>
            </w:r>
            <w:r w:rsidRPr="005968E1">
              <w:rPr>
                <w:rFonts w:ascii="Arial" w:hAnsi="Arial" w:cs="Arial"/>
              </w:rPr>
              <w:t>Европейско</w:t>
            </w:r>
            <w:r w:rsidR="00740E08">
              <w:rPr>
                <w:rFonts w:ascii="Arial" w:hAnsi="Arial" w:cs="Arial"/>
              </w:rPr>
              <w:t>му</w:t>
            </w:r>
            <w:r w:rsidRPr="005968E1">
              <w:rPr>
                <w:rFonts w:ascii="Arial" w:hAnsi="Arial" w:cs="Arial"/>
              </w:rPr>
              <w:t xml:space="preserve"> инструмент</w:t>
            </w:r>
            <w:r w:rsidR="00740E08">
              <w:rPr>
                <w:rFonts w:ascii="Arial" w:hAnsi="Arial" w:cs="Arial"/>
              </w:rPr>
              <w:t>у</w:t>
            </w:r>
            <w:r w:rsidRPr="005968E1">
              <w:rPr>
                <w:rFonts w:ascii="Arial" w:hAnsi="Arial" w:cs="Arial"/>
              </w:rPr>
              <w:t xml:space="preserve"> соседства лимит для </w:t>
            </w:r>
            <w:r w:rsidR="00BF493F">
              <w:rPr>
                <w:rFonts w:ascii="Arial" w:hAnsi="Arial" w:cs="Arial"/>
              </w:rPr>
              <w:t>дохода</w:t>
            </w:r>
            <w:r w:rsidRPr="005968E1">
              <w:rPr>
                <w:rFonts w:ascii="Arial" w:hAnsi="Arial" w:cs="Arial"/>
              </w:rPr>
              <w:t>, получаемо</w:t>
            </w:r>
            <w:r w:rsidR="00BF493F">
              <w:rPr>
                <w:rFonts w:ascii="Arial" w:hAnsi="Arial" w:cs="Arial"/>
              </w:rPr>
              <w:t>го</w:t>
            </w:r>
            <w:r w:rsidRPr="005968E1">
              <w:rPr>
                <w:rFonts w:ascii="Arial" w:hAnsi="Arial" w:cs="Arial"/>
              </w:rPr>
              <w:t xml:space="preserve"> от мероприятий проекта (т</w:t>
            </w:r>
            <w:r w:rsidR="00740E08">
              <w:rPr>
                <w:rFonts w:ascii="Arial" w:hAnsi="Arial" w:cs="Arial"/>
              </w:rPr>
              <w:t xml:space="preserve">.е. </w:t>
            </w:r>
            <w:r w:rsidRPr="005968E1">
              <w:rPr>
                <w:rFonts w:ascii="Arial" w:hAnsi="Arial" w:cs="Arial"/>
              </w:rPr>
              <w:t xml:space="preserve">на сумму собственного вклада бенефициаров – 10% от всех допустимых расходов проекта) применим только для периода реализации. Этот лимит не применяется для </w:t>
            </w:r>
            <w:r w:rsidR="00BF493F">
              <w:rPr>
                <w:rFonts w:ascii="Arial" w:hAnsi="Arial" w:cs="Arial"/>
              </w:rPr>
              <w:t>дохода</w:t>
            </w:r>
            <w:r w:rsidRPr="005968E1">
              <w:rPr>
                <w:rFonts w:ascii="Arial" w:hAnsi="Arial" w:cs="Arial"/>
              </w:rPr>
              <w:t>, возникше</w:t>
            </w:r>
            <w:r w:rsidR="00BF493F">
              <w:rPr>
                <w:rFonts w:ascii="Arial" w:hAnsi="Arial" w:cs="Arial"/>
              </w:rPr>
              <w:t>го</w:t>
            </w:r>
            <w:r w:rsidRPr="005968E1">
              <w:rPr>
                <w:rFonts w:ascii="Arial" w:hAnsi="Arial" w:cs="Arial"/>
              </w:rPr>
              <w:t xml:space="preserve"> после завершения проекта. Однако надо прин</w:t>
            </w:r>
            <w:r w:rsidR="00740E08">
              <w:rPr>
                <w:rFonts w:ascii="Arial" w:hAnsi="Arial" w:cs="Arial"/>
              </w:rPr>
              <w:t xml:space="preserve">имать </w:t>
            </w:r>
            <w:r w:rsidRPr="005968E1">
              <w:rPr>
                <w:rFonts w:ascii="Arial" w:hAnsi="Arial" w:cs="Arial"/>
              </w:rPr>
              <w:t>во внимание</w:t>
            </w:r>
            <w:r w:rsidR="00740E08">
              <w:rPr>
                <w:rFonts w:ascii="Arial" w:hAnsi="Arial" w:cs="Arial"/>
              </w:rPr>
              <w:t xml:space="preserve"> требование того</w:t>
            </w:r>
            <w:r w:rsidRPr="005968E1">
              <w:rPr>
                <w:rFonts w:ascii="Arial" w:hAnsi="Arial" w:cs="Arial"/>
              </w:rPr>
              <w:t>, что любой инвестиционный проект или проект, включающий инфраструктурный компонент</w:t>
            </w:r>
            <w:r w:rsidR="00740E08">
              <w:rPr>
                <w:rFonts w:ascii="Arial" w:hAnsi="Arial" w:cs="Arial"/>
              </w:rPr>
              <w:t>,</w:t>
            </w:r>
            <w:r w:rsidRPr="005968E1">
              <w:rPr>
                <w:rFonts w:ascii="Arial" w:hAnsi="Arial" w:cs="Arial"/>
              </w:rPr>
              <w:t xml:space="preserve"> должен </w:t>
            </w:r>
            <w:r w:rsidR="00740E08">
              <w:rPr>
                <w:rFonts w:ascii="Arial" w:hAnsi="Arial" w:cs="Arial"/>
              </w:rPr>
              <w:t xml:space="preserve">будет </w:t>
            </w:r>
            <w:r w:rsidRPr="005968E1">
              <w:rPr>
                <w:rFonts w:ascii="Arial" w:hAnsi="Arial" w:cs="Arial"/>
              </w:rPr>
              <w:t xml:space="preserve">выплатить вклад </w:t>
            </w:r>
            <w:r w:rsidR="00740E08">
              <w:rPr>
                <w:rFonts w:ascii="Arial" w:hAnsi="Arial" w:cs="Arial"/>
              </w:rPr>
              <w:t xml:space="preserve">Европейского </w:t>
            </w:r>
            <w:r w:rsidRPr="005968E1">
              <w:rPr>
                <w:rFonts w:ascii="Arial" w:hAnsi="Arial" w:cs="Arial"/>
              </w:rPr>
              <w:t xml:space="preserve">Союза, если в течение 5 лет после </w:t>
            </w:r>
            <w:r w:rsidR="00740E08">
              <w:rPr>
                <w:rFonts w:ascii="Arial" w:hAnsi="Arial" w:cs="Arial"/>
              </w:rPr>
              <w:t xml:space="preserve">его </w:t>
            </w:r>
            <w:r w:rsidRPr="005968E1">
              <w:rPr>
                <w:rFonts w:ascii="Arial" w:hAnsi="Arial" w:cs="Arial"/>
              </w:rPr>
              <w:t xml:space="preserve">завершения или в период, установленный правилами государственной поддержки, он подвергся существенным изменениям, затрагивающим его природу, </w:t>
            </w:r>
            <w:r w:rsidR="00913ABA">
              <w:rPr>
                <w:rFonts w:ascii="Arial" w:hAnsi="Arial" w:cs="Arial"/>
              </w:rPr>
              <w:t>задачи</w:t>
            </w:r>
            <w:r w:rsidRPr="005968E1">
              <w:rPr>
                <w:rFonts w:ascii="Arial" w:hAnsi="Arial" w:cs="Arial"/>
              </w:rPr>
              <w:t xml:space="preserve"> или условия реализации, что может негативно сказаться на его исходных </w:t>
            </w:r>
            <w:r w:rsidR="00913ABA">
              <w:rPr>
                <w:rFonts w:ascii="Arial" w:hAnsi="Arial" w:cs="Arial"/>
              </w:rPr>
              <w:t>целях</w:t>
            </w:r>
            <w:r w:rsidRPr="005968E1">
              <w:rPr>
                <w:rFonts w:ascii="Arial" w:hAnsi="Arial" w:cs="Arial"/>
              </w:rPr>
              <w:t>.</w:t>
            </w:r>
          </w:p>
        </w:tc>
      </w:tr>
      <w:tr w:rsidR="00632ADF" w:rsidRPr="00781CB3" w:rsidTr="000E11A9">
        <w:trPr>
          <w:trHeight w:val="891"/>
        </w:trPr>
        <w:tc>
          <w:tcPr>
            <w:tcW w:w="10144" w:type="dxa"/>
            <w:shd w:val="clear" w:color="auto" w:fill="D9D9D9" w:themeFill="background1" w:themeFillShade="D9"/>
          </w:tcPr>
          <w:p w:rsidR="00632ADF" w:rsidRPr="000F5508" w:rsidRDefault="00632ADF" w:rsidP="00913ABA">
            <w:pPr>
              <w:ind w:left="34"/>
              <w:jc w:val="both"/>
              <w:rPr>
                <w:rFonts w:ascii="Arial" w:hAnsi="Arial" w:cs="Arial"/>
                <w:b/>
                <w:lang w:val="en-GB"/>
              </w:rPr>
            </w:pPr>
            <w:r w:rsidRPr="000F5508">
              <w:rPr>
                <w:rFonts w:ascii="Arial" w:hAnsi="Arial" w:cs="Arial"/>
                <w:b/>
                <w:lang w:val="en-GB"/>
              </w:rPr>
              <w:t xml:space="preserve">13. </w:t>
            </w:r>
            <w:r w:rsidR="00503286" w:rsidRPr="005968E1">
              <w:rPr>
                <w:rFonts w:ascii="Arial" w:hAnsi="Arial" w:cs="Arial"/>
                <w:b/>
              </w:rPr>
              <w:t>Можно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03286" w:rsidRPr="005968E1">
              <w:rPr>
                <w:rFonts w:ascii="Arial" w:hAnsi="Arial" w:cs="Arial"/>
                <w:b/>
              </w:rPr>
              <w:t>ли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03286" w:rsidRPr="005968E1">
              <w:rPr>
                <w:rFonts w:ascii="Arial" w:hAnsi="Arial" w:cs="Arial"/>
                <w:b/>
              </w:rPr>
              <w:t>указать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13ABA" w:rsidRPr="00913ABA">
              <w:rPr>
                <w:rFonts w:ascii="Arial" w:hAnsi="Arial" w:cs="Arial"/>
                <w:b/>
                <w:lang w:val="en-GB"/>
              </w:rPr>
              <w:t>«</w:t>
            </w:r>
            <w:r w:rsidR="00913ABA" w:rsidRPr="005968E1">
              <w:rPr>
                <w:rFonts w:ascii="Arial" w:hAnsi="Arial" w:cs="Arial"/>
                <w:b/>
              </w:rPr>
              <w:t>лизинг</w:t>
            </w:r>
            <w:r w:rsidR="00913ABA" w:rsidRPr="00913ABA">
              <w:rPr>
                <w:rFonts w:ascii="Arial" w:hAnsi="Arial" w:cs="Arial"/>
                <w:b/>
                <w:lang w:val="en-GB"/>
              </w:rPr>
              <w:t>»</w:t>
            </w:r>
            <w:r w:rsidR="00913ABA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13ABA" w:rsidRPr="005968E1">
              <w:rPr>
                <w:rFonts w:ascii="Arial" w:hAnsi="Arial" w:cs="Arial"/>
                <w:b/>
              </w:rPr>
              <w:t>или</w:t>
            </w:r>
            <w:r w:rsidR="00913ABA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13ABA" w:rsidRPr="00913ABA">
              <w:rPr>
                <w:rFonts w:ascii="Arial" w:hAnsi="Arial" w:cs="Arial"/>
                <w:b/>
                <w:lang w:val="en-GB"/>
              </w:rPr>
              <w:t>«</w:t>
            </w:r>
            <w:r w:rsidR="00913ABA" w:rsidRPr="005968E1">
              <w:rPr>
                <w:rFonts w:ascii="Arial" w:hAnsi="Arial" w:cs="Arial"/>
                <w:b/>
              </w:rPr>
              <w:t>прокат</w:t>
            </w:r>
            <w:r w:rsidR="00913ABA" w:rsidRPr="00913ABA">
              <w:rPr>
                <w:rFonts w:ascii="Arial" w:hAnsi="Arial" w:cs="Arial"/>
                <w:b/>
                <w:lang w:val="en-GB"/>
              </w:rPr>
              <w:t xml:space="preserve">» </w:t>
            </w:r>
            <w:r w:rsidR="00503286" w:rsidRPr="005968E1">
              <w:rPr>
                <w:rFonts w:ascii="Arial" w:hAnsi="Arial" w:cs="Arial"/>
                <w:b/>
              </w:rPr>
              <w:t>в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03286" w:rsidRPr="005968E1">
              <w:rPr>
                <w:rFonts w:ascii="Arial" w:hAnsi="Arial" w:cs="Arial"/>
                <w:b/>
              </w:rPr>
              <w:t>Приложении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03286" w:rsidRPr="005968E1">
              <w:rPr>
                <w:rFonts w:ascii="Arial" w:hAnsi="Arial" w:cs="Arial"/>
                <w:b/>
              </w:rPr>
              <w:t>А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 xml:space="preserve">10 </w:t>
            </w:r>
            <w:r w:rsidR="00503286" w:rsidRPr="00913ABA">
              <w:rPr>
                <w:rFonts w:ascii="Arial" w:hAnsi="Arial" w:cs="Arial"/>
                <w:b/>
                <w:lang w:val="en-GB"/>
              </w:rPr>
              <w:t>Declaration of the Lead beneficiary/beneficiary on the right for the land/real estate disposal for the construction/supplies purposes</w:t>
            </w:r>
            <w:r w:rsidR="00503286" w:rsidRPr="000F5508">
              <w:rPr>
                <w:rFonts w:ascii="Arial" w:hAnsi="Arial" w:cs="Arial"/>
                <w:b/>
                <w:lang w:val="en-GB"/>
              </w:rPr>
              <w:t>?</w:t>
            </w:r>
          </w:p>
        </w:tc>
      </w:tr>
      <w:tr w:rsidR="00632ADF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632ADF" w:rsidRPr="005968E1" w:rsidRDefault="00503286" w:rsidP="00BF493F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5968E1">
              <w:rPr>
                <w:rFonts w:ascii="Arial" w:hAnsi="Arial" w:cs="Arial"/>
              </w:rPr>
              <w:t xml:space="preserve">Все законно допустимые формы собственности на землю/недвижимость для целей строительства/поставки приемлемы (например, собственность, право пожизненного пользования, временное управление, лизинг и т.д.). Однако если форма распоряжения землей/недвижимостью </w:t>
            </w:r>
            <w:r w:rsidR="00913ABA">
              <w:rPr>
                <w:rFonts w:ascii="Arial" w:hAnsi="Arial" w:cs="Arial"/>
              </w:rPr>
              <w:t>не является формой «</w:t>
            </w:r>
            <w:r w:rsidRPr="005968E1">
              <w:rPr>
                <w:rFonts w:ascii="Arial" w:hAnsi="Arial" w:cs="Arial"/>
              </w:rPr>
              <w:t>собственность</w:t>
            </w:r>
            <w:r w:rsidR="00913ABA">
              <w:rPr>
                <w:rFonts w:ascii="Arial" w:hAnsi="Arial" w:cs="Arial"/>
              </w:rPr>
              <w:t>»</w:t>
            </w:r>
            <w:r w:rsidRPr="005968E1">
              <w:rPr>
                <w:rFonts w:ascii="Arial" w:hAnsi="Arial" w:cs="Arial"/>
              </w:rPr>
              <w:t xml:space="preserve">, период </w:t>
            </w:r>
            <w:r w:rsidR="00913ABA">
              <w:rPr>
                <w:rFonts w:ascii="Arial" w:hAnsi="Arial" w:cs="Arial"/>
              </w:rPr>
              <w:t xml:space="preserve">ее действия </w:t>
            </w:r>
            <w:r w:rsidRPr="005968E1">
              <w:rPr>
                <w:rFonts w:ascii="Arial" w:hAnsi="Arial" w:cs="Arial"/>
              </w:rPr>
              <w:t>должен покрывать период реализации проекта</w:t>
            </w:r>
            <w:r w:rsidR="00913ABA">
              <w:rPr>
                <w:rFonts w:ascii="Arial" w:hAnsi="Arial" w:cs="Arial"/>
              </w:rPr>
              <w:t xml:space="preserve"> и </w:t>
            </w:r>
            <w:r w:rsidRPr="005968E1">
              <w:rPr>
                <w:rFonts w:ascii="Arial" w:hAnsi="Arial" w:cs="Arial"/>
              </w:rPr>
              <w:t>период его устойчивости, т</w:t>
            </w:r>
            <w:r w:rsidR="00913ABA">
              <w:rPr>
                <w:rFonts w:ascii="Arial" w:hAnsi="Arial" w:cs="Arial"/>
              </w:rPr>
              <w:t>.е.</w:t>
            </w:r>
            <w:r w:rsidRPr="005968E1">
              <w:rPr>
                <w:rFonts w:ascii="Arial" w:hAnsi="Arial" w:cs="Arial"/>
              </w:rPr>
              <w:t xml:space="preserve"> 5 </w:t>
            </w:r>
            <w:r w:rsidR="00913ABA">
              <w:rPr>
                <w:rFonts w:ascii="Arial" w:hAnsi="Arial" w:cs="Arial"/>
              </w:rPr>
              <w:t>л</w:t>
            </w:r>
            <w:r w:rsidRPr="005968E1">
              <w:rPr>
                <w:rFonts w:ascii="Arial" w:hAnsi="Arial" w:cs="Arial"/>
              </w:rPr>
              <w:t xml:space="preserve">ет после завершения </w:t>
            </w:r>
            <w:r w:rsidRPr="005968E1">
              <w:rPr>
                <w:rFonts w:ascii="Arial" w:hAnsi="Arial" w:cs="Arial"/>
              </w:rPr>
              <w:lastRenderedPageBreak/>
              <w:t>проекта. Н</w:t>
            </w:r>
            <w:r w:rsidR="00BF493F">
              <w:rPr>
                <w:rFonts w:ascii="Arial" w:hAnsi="Arial" w:cs="Arial"/>
              </w:rPr>
              <w:t xml:space="preserve">еобходимо </w:t>
            </w:r>
            <w:r w:rsidR="00913ABA">
              <w:rPr>
                <w:rFonts w:ascii="Arial" w:hAnsi="Arial" w:cs="Arial"/>
              </w:rPr>
              <w:t xml:space="preserve">также </w:t>
            </w:r>
            <w:r w:rsidR="00BF493F">
              <w:rPr>
                <w:rFonts w:ascii="Arial" w:hAnsi="Arial" w:cs="Arial"/>
              </w:rPr>
              <w:t>учитывать</w:t>
            </w:r>
            <w:r w:rsidRPr="005968E1">
              <w:rPr>
                <w:rFonts w:ascii="Arial" w:hAnsi="Arial" w:cs="Arial"/>
              </w:rPr>
              <w:t>, что согласие владельца собственности на землю/недвижимость на управление землей/недвижимостью данной организацией должно быть выражено однозначно и</w:t>
            </w:r>
            <w:r w:rsidR="00913ABA">
              <w:rPr>
                <w:rFonts w:ascii="Arial" w:hAnsi="Arial" w:cs="Arial"/>
              </w:rPr>
              <w:t xml:space="preserve">, при необходимости, </w:t>
            </w:r>
            <w:r w:rsidRPr="005968E1">
              <w:rPr>
                <w:rFonts w:ascii="Arial" w:hAnsi="Arial" w:cs="Arial"/>
              </w:rPr>
              <w:t>содержать согласие владельца на постройку объекта на его земле указанной организацией. Такое согласие не может быть молчаливым.</w:t>
            </w:r>
          </w:p>
        </w:tc>
      </w:tr>
      <w:tr w:rsidR="00632ADF" w:rsidRPr="005968E1" w:rsidTr="000E11A9">
        <w:trPr>
          <w:trHeight w:val="884"/>
        </w:trPr>
        <w:tc>
          <w:tcPr>
            <w:tcW w:w="10144" w:type="dxa"/>
            <w:shd w:val="clear" w:color="auto" w:fill="D9D9D9" w:themeFill="background1" w:themeFillShade="D9"/>
          </w:tcPr>
          <w:p w:rsidR="00632ADF" w:rsidRPr="005968E1" w:rsidRDefault="00632ADF" w:rsidP="00BF493F">
            <w:pPr>
              <w:jc w:val="both"/>
              <w:rPr>
                <w:rFonts w:ascii="Arial" w:eastAsia="Calibri" w:hAnsi="Arial" w:cs="Arial"/>
                <w:b/>
              </w:rPr>
            </w:pPr>
            <w:r w:rsidRPr="005968E1">
              <w:rPr>
                <w:rFonts w:ascii="Arial" w:hAnsi="Arial" w:cs="Arial"/>
                <w:b/>
              </w:rPr>
              <w:lastRenderedPageBreak/>
              <w:t xml:space="preserve">14. </w:t>
            </w:r>
            <w:r w:rsidR="00503286" w:rsidRPr="005968E1">
              <w:rPr>
                <w:rFonts w:ascii="Arial" w:hAnsi="Arial" w:cs="Arial"/>
                <w:b/>
              </w:rPr>
              <w:t>Надо ли предоставлять в качестве Приложени</w:t>
            </w:r>
            <w:r w:rsidR="00BF493F">
              <w:rPr>
                <w:rFonts w:ascii="Arial" w:hAnsi="Arial" w:cs="Arial"/>
                <w:b/>
              </w:rPr>
              <w:t>я</w:t>
            </w:r>
            <w:r w:rsidR="00503286" w:rsidRPr="005968E1">
              <w:rPr>
                <w:rFonts w:ascii="Arial" w:hAnsi="Arial" w:cs="Arial"/>
                <w:b/>
              </w:rPr>
              <w:t xml:space="preserve"> А3 </w:t>
            </w:r>
            <w:r w:rsidR="00503286" w:rsidRPr="00866100">
              <w:rPr>
                <w:rFonts w:ascii="Arial" w:hAnsi="Arial" w:cs="Arial"/>
                <w:b/>
              </w:rPr>
              <w:t>Copies of the profit and loss account and the balance sheets or other relevant fiscal documents for the last 3 years</w:t>
            </w:r>
            <w:r w:rsidR="00503286" w:rsidRPr="005968E1">
              <w:rPr>
                <w:rFonts w:ascii="Arial" w:hAnsi="Arial" w:cs="Arial"/>
                <w:b/>
              </w:rPr>
              <w:t xml:space="preserve"> финансовые документы, которые были заверены и одобрены сертифицированным аудитором?</w:t>
            </w:r>
          </w:p>
        </w:tc>
      </w:tr>
      <w:tr w:rsidR="00503286" w:rsidRPr="005968E1" w:rsidTr="000E11A9">
        <w:trPr>
          <w:trHeight w:val="287"/>
        </w:trPr>
        <w:tc>
          <w:tcPr>
            <w:tcW w:w="10144" w:type="dxa"/>
            <w:shd w:val="clear" w:color="auto" w:fill="auto"/>
          </w:tcPr>
          <w:p w:rsidR="00503286" w:rsidRPr="005968E1" w:rsidRDefault="00503286" w:rsidP="005700D8">
            <w:pPr>
              <w:ind w:left="34"/>
              <w:jc w:val="both"/>
              <w:rPr>
                <w:rFonts w:ascii="Arial" w:hAnsi="Arial" w:cs="Arial"/>
              </w:rPr>
            </w:pPr>
            <w:r w:rsidRPr="005968E1">
              <w:rPr>
                <w:rFonts w:ascii="Arial" w:hAnsi="Arial" w:cs="Arial"/>
              </w:rPr>
              <w:t>Финансовые документы должны быть подготовлены финансовым отделом организации в соответствии с законодатель</w:t>
            </w:r>
            <w:r w:rsidR="00913ABA">
              <w:rPr>
                <w:rFonts w:ascii="Arial" w:hAnsi="Arial" w:cs="Arial"/>
              </w:rPr>
              <w:t>ств</w:t>
            </w:r>
            <w:r w:rsidR="00A342E1">
              <w:rPr>
                <w:rFonts w:ascii="Arial" w:hAnsi="Arial" w:cs="Arial"/>
              </w:rPr>
              <w:t>о</w:t>
            </w:r>
            <w:r w:rsidR="00913ABA">
              <w:rPr>
                <w:rFonts w:ascii="Arial" w:hAnsi="Arial" w:cs="Arial"/>
              </w:rPr>
              <w:t xml:space="preserve">м о бухгалтерской отчетности </w:t>
            </w:r>
            <w:r w:rsidRPr="005968E1">
              <w:rPr>
                <w:rFonts w:ascii="Arial" w:hAnsi="Arial" w:cs="Arial"/>
              </w:rPr>
              <w:t xml:space="preserve"> и внутренними бухгалтерскими правилами организации</w:t>
            </w:r>
            <w:r w:rsidR="00A342E1">
              <w:rPr>
                <w:rFonts w:ascii="Arial" w:hAnsi="Arial" w:cs="Arial"/>
              </w:rPr>
              <w:t xml:space="preserve"> </w:t>
            </w:r>
            <w:r w:rsidR="00A342E1" w:rsidRPr="005968E1">
              <w:rPr>
                <w:rFonts w:ascii="Arial" w:hAnsi="Arial" w:cs="Arial"/>
              </w:rPr>
              <w:t>(</w:t>
            </w:r>
            <w:r w:rsidR="00A342E1">
              <w:rPr>
                <w:rFonts w:ascii="Arial" w:hAnsi="Arial" w:cs="Arial"/>
              </w:rPr>
              <w:t xml:space="preserve">они должны быть </w:t>
            </w:r>
            <w:r w:rsidR="00A342E1" w:rsidRPr="005968E1">
              <w:rPr>
                <w:rFonts w:ascii="Arial" w:hAnsi="Arial" w:cs="Arial"/>
              </w:rPr>
              <w:t>одобрены вышестоящим органом, если того требуют внутренние правила)</w:t>
            </w:r>
            <w:r w:rsidRPr="005968E1">
              <w:rPr>
                <w:rFonts w:ascii="Arial" w:hAnsi="Arial" w:cs="Arial"/>
              </w:rPr>
              <w:t xml:space="preserve">. </w:t>
            </w:r>
            <w:r w:rsidR="005700D8">
              <w:rPr>
                <w:rFonts w:ascii="Arial" w:hAnsi="Arial" w:cs="Arial"/>
              </w:rPr>
              <w:t>Каждый комплект документов д</w:t>
            </w:r>
            <w:r w:rsidRPr="005968E1">
              <w:rPr>
                <w:rFonts w:ascii="Arial" w:hAnsi="Arial" w:cs="Arial"/>
              </w:rPr>
              <w:t>олж</w:t>
            </w:r>
            <w:r w:rsidR="005700D8">
              <w:rPr>
                <w:rFonts w:ascii="Arial" w:hAnsi="Arial" w:cs="Arial"/>
              </w:rPr>
              <w:t>е</w:t>
            </w:r>
            <w:r w:rsidRPr="005968E1">
              <w:rPr>
                <w:rFonts w:ascii="Arial" w:hAnsi="Arial" w:cs="Arial"/>
              </w:rPr>
              <w:t>н отражать закрыты</w:t>
            </w:r>
            <w:r w:rsidR="007C1EA0" w:rsidRPr="005968E1">
              <w:rPr>
                <w:rFonts w:ascii="Arial" w:hAnsi="Arial" w:cs="Arial"/>
              </w:rPr>
              <w:t>й</w:t>
            </w:r>
            <w:r w:rsidRPr="005968E1">
              <w:rPr>
                <w:rFonts w:ascii="Arial" w:hAnsi="Arial" w:cs="Arial"/>
              </w:rPr>
              <w:t xml:space="preserve"> отчетный год. </w:t>
            </w:r>
            <w:r w:rsidR="00A342E1">
              <w:rPr>
                <w:rFonts w:ascii="Arial" w:hAnsi="Arial" w:cs="Arial"/>
              </w:rPr>
              <w:t>Они</w:t>
            </w:r>
            <w:r w:rsidRPr="005968E1">
              <w:rPr>
                <w:rFonts w:ascii="Arial" w:hAnsi="Arial" w:cs="Arial"/>
              </w:rPr>
              <w:t xml:space="preserve"> должны быть подписаны главным бухгалтером и лицом, авторизованным представлять организацию. Если внутренние правила организации не требуют необходимости заверять финансовый баланс сертифицированным аудитором, </w:t>
            </w:r>
            <w:r w:rsidR="00A342E1">
              <w:rPr>
                <w:rFonts w:ascii="Arial" w:hAnsi="Arial" w:cs="Arial"/>
              </w:rPr>
              <w:t xml:space="preserve">то </w:t>
            </w:r>
            <w:r w:rsidRPr="005968E1">
              <w:rPr>
                <w:rFonts w:ascii="Arial" w:hAnsi="Arial" w:cs="Arial"/>
              </w:rPr>
              <w:t xml:space="preserve">Программа Польша-Россия тоже </w:t>
            </w:r>
            <w:r w:rsidR="00A342E1">
              <w:rPr>
                <w:rFonts w:ascii="Arial" w:hAnsi="Arial" w:cs="Arial"/>
              </w:rPr>
              <w:t xml:space="preserve">этого </w:t>
            </w:r>
            <w:r w:rsidRPr="005968E1">
              <w:rPr>
                <w:rFonts w:ascii="Arial" w:hAnsi="Arial" w:cs="Arial"/>
              </w:rPr>
              <w:t>не требует.</w:t>
            </w:r>
          </w:p>
        </w:tc>
      </w:tr>
    </w:tbl>
    <w:p w:rsidR="00326229" w:rsidRPr="00405F79" w:rsidRDefault="00326229" w:rsidP="003867E9">
      <w:pPr>
        <w:spacing w:line="240" w:lineRule="auto"/>
        <w:rPr>
          <w:rFonts w:ascii="Arial" w:hAnsi="Arial" w:cs="Arial"/>
          <w:b/>
        </w:rPr>
      </w:pPr>
    </w:p>
    <w:p w:rsidR="000E11A9" w:rsidRPr="003867E9" w:rsidRDefault="000E11A9" w:rsidP="003867E9">
      <w:pPr>
        <w:spacing w:line="240" w:lineRule="auto"/>
        <w:rPr>
          <w:rFonts w:ascii="Arial" w:hAnsi="Arial" w:cs="Arial"/>
        </w:rPr>
      </w:pPr>
    </w:p>
    <w:sectPr w:rsidR="000E11A9" w:rsidRPr="003867E9" w:rsidSect="000E1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B2" w:rsidRDefault="00886EB2" w:rsidP="0011088B">
      <w:pPr>
        <w:spacing w:after="0" w:line="240" w:lineRule="auto"/>
      </w:pPr>
      <w:r>
        <w:separator/>
      </w:r>
    </w:p>
  </w:endnote>
  <w:endnote w:type="continuationSeparator" w:id="0">
    <w:p w:rsidR="00886EB2" w:rsidRDefault="00886EB2" w:rsidP="0011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9" w:rsidRDefault="000E1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0E11A9" w:rsidRDefault="00D97118">
        <w:pPr>
          <w:pStyle w:val="Footer"/>
          <w:jc w:val="right"/>
        </w:pPr>
        <w:fldSimple w:instr=" PAGE   \* MERGEFORMAT ">
          <w:r w:rsidR="00BF493F">
            <w:rPr>
              <w:noProof/>
            </w:rPr>
            <w:t>1</w:t>
          </w:r>
        </w:fldSimple>
      </w:p>
    </w:sdtContent>
  </w:sdt>
  <w:p w:rsidR="000E11A9" w:rsidRDefault="000E11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9" w:rsidRDefault="000E1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B2" w:rsidRDefault="00886EB2" w:rsidP="0011088B">
      <w:pPr>
        <w:spacing w:after="0" w:line="240" w:lineRule="auto"/>
      </w:pPr>
      <w:r>
        <w:separator/>
      </w:r>
    </w:p>
  </w:footnote>
  <w:footnote w:type="continuationSeparator" w:id="0">
    <w:p w:rsidR="00886EB2" w:rsidRDefault="00886EB2" w:rsidP="0011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9" w:rsidRDefault="000E1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9" w:rsidRDefault="000E11A9" w:rsidP="000E11A9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val="pl-PL" w:eastAsia="pl-PL"/>
      </w:rPr>
      <w:drawing>
        <wp:inline distT="0" distB="0" distL="0" distR="0">
          <wp:extent cx="2714625" cy="689283"/>
          <wp:effectExtent l="19050" t="0" r="9525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 w:rsidRPr="00335AEE">
      <w:rPr>
        <w:b/>
        <w:color w:val="548DD4" w:themeColor="text2" w:themeTint="99"/>
        <w:sz w:val="28"/>
        <w:szCs w:val="28"/>
      </w:rPr>
      <w:t xml:space="preserve">7 </w:t>
    </w:r>
    <w:r>
      <w:rPr>
        <w:b/>
        <w:color w:val="548DD4" w:themeColor="text2" w:themeTint="99"/>
        <w:sz w:val="28"/>
        <w:szCs w:val="28"/>
      </w:rPr>
      <w:t>August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0E11A9" w:rsidRPr="00A404A7" w:rsidRDefault="000E11A9" w:rsidP="000E11A9">
    <w:pPr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A9" w:rsidRDefault="000E1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>
    <w:nsid w:val="22CF11DA"/>
    <w:multiLevelType w:val="hybridMultilevel"/>
    <w:tmpl w:val="64AA4B08"/>
    <w:lvl w:ilvl="0" w:tplc="065C3ACC">
      <w:start w:val="1"/>
      <w:numFmt w:val="lowerLetter"/>
      <w:lvlText w:val="%1."/>
      <w:lvlJc w:val="left"/>
      <w:pPr>
        <w:ind w:left="115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23F2394F"/>
    <w:multiLevelType w:val="hybridMultilevel"/>
    <w:tmpl w:val="8B72333C"/>
    <w:lvl w:ilvl="0" w:tplc="04190019">
      <w:start w:val="1"/>
      <w:numFmt w:val="lowerLetter"/>
      <w:lvlText w:val="%1.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>
    <w:nsid w:val="43990FA6"/>
    <w:multiLevelType w:val="hybridMultilevel"/>
    <w:tmpl w:val="1E445C6E"/>
    <w:lvl w:ilvl="0" w:tplc="58DEB05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229"/>
    <w:rsid w:val="000E11A9"/>
    <w:rsid w:val="000F5508"/>
    <w:rsid w:val="0011088B"/>
    <w:rsid w:val="001C4146"/>
    <w:rsid w:val="001D006F"/>
    <w:rsid w:val="002414B2"/>
    <w:rsid w:val="00241E40"/>
    <w:rsid w:val="00292D49"/>
    <w:rsid w:val="002E7273"/>
    <w:rsid w:val="00326229"/>
    <w:rsid w:val="00370180"/>
    <w:rsid w:val="003867E9"/>
    <w:rsid w:val="00405F79"/>
    <w:rsid w:val="00424A22"/>
    <w:rsid w:val="00456AE2"/>
    <w:rsid w:val="004924F5"/>
    <w:rsid w:val="00503286"/>
    <w:rsid w:val="00557E2A"/>
    <w:rsid w:val="005700D8"/>
    <w:rsid w:val="0059323C"/>
    <w:rsid w:val="005968E1"/>
    <w:rsid w:val="00632ADF"/>
    <w:rsid w:val="00740E08"/>
    <w:rsid w:val="00754223"/>
    <w:rsid w:val="00781CB3"/>
    <w:rsid w:val="00791504"/>
    <w:rsid w:val="007C1EA0"/>
    <w:rsid w:val="007D34D4"/>
    <w:rsid w:val="00827B87"/>
    <w:rsid w:val="00866100"/>
    <w:rsid w:val="00871788"/>
    <w:rsid w:val="00884F30"/>
    <w:rsid w:val="00886EB2"/>
    <w:rsid w:val="0089023E"/>
    <w:rsid w:val="00913ABA"/>
    <w:rsid w:val="009D6A4D"/>
    <w:rsid w:val="00A03B2F"/>
    <w:rsid w:val="00A0528E"/>
    <w:rsid w:val="00A342E1"/>
    <w:rsid w:val="00AB07ED"/>
    <w:rsid w:val="00AC67A5"/>
    <w:rsid w:val="00B27DB1"/>
    <w:rsid w:val="00B51B5E"/>
    <w:rsid w:val="00B70567"/>
    <w:rsid w:val="00BA0239"/>
    <w:rsid w:val="00BE0D2E"/>
    <w:rsid w:val="00BF493F"/>
    <w:rsid w:val="00C40EEE"/>
    <w:rsid w:val="00D94F95"/>
    <w:rsid w:val="00D97118"/>
    <w:rsid w:val="00E037CE"/>
    <w:rsid w:val="00E21E6C"/>
    <w:rsid w:val="00F35767"/>
    <w:rsid w:val="00F4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229"/>
  </w:style>
  <w:style w:type="paragraph" w:styleId="Footer">
    <w:name w:val="footer"/>
    <w:basedOn w:val="Normal"/>
    <w:link w:val="FooterChar"/>
    <w:uiPriority w:val="99"/>
    <w:unhideWhenUsed/>
    <w:rsid w:val="0032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29"/>
  </w:style>
  <w:style w:type="table" w:styleId="TableGrid">
    <w:name w:val="Table Grid"/>
    <w:basedOn w:val="TableNormal"/>
    <w:uiPriority w:val="59"/>
    <w:rsid w:val="0032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Standard paragraph,wypunktowanie"/>
    <w:basedOn w:val="Normal"/>
    <w:link w:val="BodyTextChar"/>
    <w:rsid w:val="00326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Standard paragraph Char,wypunktowanie Char"/>
    <w:basedOn w:val="DefaultParagraphFont"/>
    <w:link w:val="BodyText"/>
    <w:rsid w:val="00326229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"/>
    <w:rsid w:val="00326229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9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"/>
    <w:rsid w:val="00370180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2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229"/>
  </w:style>
  <w:style w:type="paragraph" w:styleId="a5">
    <w:name w:val="footer"/>
    <w:basedOn w:val="a"/>
    <w:link w:val="a6"/>
    <w:uiPriority w:val="99"/>
    <w:unhideWhenUsed/>
    <w:rsid w:val="0032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229"/>
  </w:style>
  <w:style w:type="table" w:styleId="a7">
    <w:name w:val="Table Grid"/>
    <w:basedOn w:val="a1"/>
    <w:uiPriority w:val="59"/>
    <w:rsid w:val="0032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Standard paragraph,wypunktowanie"/>
    <w:basedOn w:val="a"/>
    <w:link w:val="a9"/>
    <w:rsid w:val="00326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9">
    <w:name w:val="Основной текст Знак"/>
    <w:aliases w:val="Standard paragraph Знак,wypunktowanie Знак"/>
    <w:basedOn w:val="a0"/>
    <w:link w:val="a8"/>
    <w:rsid w:val="00326229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a"/>
    <w:rsid w:val="00326229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229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a"/>
    <w:rsid w:val="003701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6B26-EAF0-4FED-B6B3-D86A39C9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1686</Words>
  <Characters>10116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piotr_trojanowski</dc:creator>
  <cp:lastModifiedBy>Yulia_Petrovich</cp:lastModifiedBy>
  <cp:revision>15</cp:revision>
  <dcterms:created xsi:type="dcterms:W3CDTF">2017-11-01T11:35:00Z</dcterms:created>
  <dcterms:modified xsi:type="dcterms:W3CDTF">2017-11-10T14:28:00Z</dcterms:modified>
</cp:coreProperties>
</file>