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0164E8" w:rsidRPr="00D05730" w:rsidTr="009B76ED">
        <w:trPr>
          <w:trHeight w:val="458"/>
        </w:trPr>
        <w:tc>
          <w:tcPr>
            <w:tcW w:w="10144" w:type="dxa"/>
            <w:shd w:val="clear" w:color="auto" w:fill="D9D9D9" w:themeFill="background1" w:themeFillShade="D9"/>
          </w:tcPr>
          <w:p w:rsidR="009B76ED" w:rsidRPr="00D05730" w:rsidRDefault="009B76ED" w:rsidP="00662822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1. </w:t>
            </w:r>
            <w:r w:rsidR="00514060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Is it planned</w:t>
            </w:r>
            <w:r w:rsidR="008D3FE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to have </w:t>
            </w:r>
            <w:r w:rsidR="008D3FE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one or more call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8D3FE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for proposals within the </w:t>
            </w:r>
            <w:proofErr w:type="spellStart"/>
            <w:r w:rsidR="008D3FE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Programme</w:t>
            </w:r>
            <w:proofErr w:type="spellEnd"/>
            <w:r w:rsidR="008D3FE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?</w:t>
            </w:r>
          </w:p>
          <w:p w:rsidR="000164E8" w:rsidRPr="00D05730" w:rsidRDefault="000164E8" w:rsidP="00662822">
            <w:p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164E8" w:rsidRPr="00D05730" w:rsidTr="00343802">
        <w:trPr>
          <w:trHeight w:val="742"/>
        </w:trPr>
        <w:tc>
          <w:tcPr>
            <w:tcW w:w="10144" w:type="dxa"/>
          </w:tcPr>
          <w:p w:rsidR="00037851" w:rsidRPr="00D05730" w:rsidRDefault="009B76ED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launch of further call</w:t>
            </w:r>
            <w:r w:rsidR="00CE7C7C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for proposals depends on the amount of funds allocated to the projects </w:t>
            </w:r>
            <w:r w:rsidR="00CE7C7C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within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first call for proposals and </w:t>
            </w:r>
            <w:r w:rsidR="00CE7C7C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the availability of 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resources</w:t>
            </w:r>
            <w:r w:rsidR="00CE7C7C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left for o</w:t>
            </w:r>
            <w:r w:rsidR="00514060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ther call</w:t>
            </w:r>
            <w:r w:rsidR="00CE7C7C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for proposals.   </w:t>
            </w:r>
          </w:p>
          <w:p w:rsidR="00343802" w:rsidRPr="00D05730" w:rsidRDefault="00343802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164E8" w:rsidRPr="00D05730" w:rsidTr="00343802">
        <w:trPr>
          <w:trHeight w:val="412"/>
        </w:trPr>
        <w:tc>
          <w:tcPr>
            <w:tcW w:w="10144" w:type="dxa"/>
            <w:shd w:val="clear" w:color="auto" w:fill="D9D9D9" w:themeFill="background1" w:themeFillShade="D9"/>
          </w:tcPr>
          <w:p w:rsidR="000164E8" w:rsidRPr="00D05730" w:rsidRDefault="009B76ED" w:rsidP="00343802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2. What currency w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ill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be used for project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costs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settlement</w:t>
            </w:r>
            <w:r w:rsidR="00FE08EB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E08EB" w:rsidRPr="00D05730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="00FE08EB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FE08EB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euro or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national currencies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? </w:t>
            </w:r>
          </w:p>
        </w:tc>
      </w:tr>
      <w:tr w:rsidR="000164E8" w:rsidRPr="00D05730" w:rsidTr="00987EBE">
        <w:trPr>
          <w:trHeight w:val="1005"/>
        </w:trPr>
        <w:tc>
          <w:tcPr>
            <w:tcW w:w="10144" w:type="dxa"/>
          </w:tcPr>
          <w:p w:rsidR="00037851" w:rsidRPr="00D05730" w:rsidRDefault="00CE7C7C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According to the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Programme</w:t>
            </w:r>
            <w:proofErr w:type="spellEnd"/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requirements, t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 project budget is prepared in euro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as well </w:t>
            </w:r>
            <w:r w:rsidR="00343802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as t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 advance and balance payment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are 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also made in euro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. Therefore the 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expenditures 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borne </w:t>
            </w:r>
            <w:r w:rsidR="00343802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 a national currency during the implementation of a project 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will 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have to be 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converted into euro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C0540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during the preparation of </w:t>
            </w:r>
            <w:r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report</w:t>
            </w:r>
            <w:r w:rsidR="002C0540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9B76ED" w:rsidRPr="00D0573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37851" w:rsidRPr="00D05730" w:rsidRDefault="00037851">
            <w:pPr>
              <w:pStyle w:val="Zwykytek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</w:tr>
      <w:tr w:rsidR="000164E8" w:rsidRPr="00D05730" w:rsidTr="00343802">
        <w:trPr>
          <w:trHeight w:val="849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9B76ED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3.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Do the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institutions have to possess an exclusive right </w:t>
            </w:r>
            <w:r w:rsidR="00CE7C7C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land ownership </w:t>
            </w:r>
            <w:r w:rsidR="002C0540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for a land plot where an infrastructural object is planned to be constructed? Or is it possible to have </w:t>
            </w:r>
            <w:r w:rsidR="008416C8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other types of right for it, e.g. </w:t>
            </w:r>
            <w:r w:rsidR="002C0540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a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lease</w:t>
            </w:r>
            <w:r w:rsidR="002C0540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agreement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?</w:t>
            </w:r>
          </w:p>
        </w:tc>
      </w:tr>
      <w:tr w:rsidR="000164E8" w:rsidRPr="00D05730" w:rsidTr="00A404A7">
        <w:trPr>
          <w:trHeight w:val="801"/>
        </w:trPr>
        <w:tc>
          <w:tcPr>
            <w:tcW w:w="10144" w:type="dxa"/>
          </w:tcPr>
          <w:p w:rsidR="008416C8" w:rsidRPr="00D05730" w:rsidRDefault="008416C8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 case of investment and infrastructure projects, the type of right for the land/real estate disposal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for construction is to be declared in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>Annex A10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"Declaration of the Lead beneficiary/beneficiary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>on the right for the land/real estate disposal for the construction/supplies purposes". Th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is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attachment will be automatically generated by 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on-line application tool.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It has to be completed, printed out, signed and attached </w:t>
            </w:r>
            <w:r w:rsidR="004B159A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as a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scan of the document to the 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pplication 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>orm.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9B76ED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By submitting </w:t>
            </w:r>
            <w:r w:rsidR="008416C8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this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attachment, the potential beneficiary declares that he has the right for the disposal of the land/real estate</w:t>
            </w:r>
            <w:r w:rsidR="008416C8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and specifies its type and legal basis (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ownership/co-ownership/perpetual usufruct/permanent administration/other right, e.g. lease). Additionally, the potential beneficiary </w:t>
            </w:r>
            <w:r w:rsidR="008416C8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declares that the land/real estate is free of any encumbrances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according to relevant national legislation.</w:t>
            </w:r>
          </w:p>
          <w:p w:rsidR="000164E8" w:rsidRPr="00D05730" w:rsidRDefault="000164E8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404A7" w:rsidRPr="00D05730" w:rsidTr="00A404A7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9B76ED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4. </w:t>
            </w:r>
            <w:r w:rsidR="0029368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In which cases is it necessary to submit Annex 9? If a building permission is available, </w:t>
            </w:r>
            <w:r w:rsidR="0034380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="0029368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is it still necessary to submit this Annex? </w:t>
            </w:r>
          </w:p>
        </w:tc>
      </w:tr>
      <w:tr w:rsidR="00A404A7" w:rsidRPr="00D05730" w:rsidTr="009B76ED">
        <w:trPr>
          <w:trHeight w:val="426"/>
        </w:trPr>
        <w:tc>
          <w:tcPr>
            <w:tcW w:w="10144" w:type="dxa"/>
          </w:tcPr>
          <w:p w:rsidR="009B76ED" w:rsidRPr="00D05730" w:rsidRDefault="0029368F" w:rsidP="00662822">
            <w:pPr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Annex 9 “D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eclaration of the Polish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/Russian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l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ead beneficiary/beneficiary on the readiness </w:t>
            </w:r>
            <w:r w:rsidR="00343802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of the building permission or its equivalent necessary for project implementation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”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must be completed by all beneficiaries of the infrastructur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e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project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. In this annex, a beneficiary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indicat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es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(by selecting </w:t>
            </w:r>
            <w:r w:rsidR="00343802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the appropriate option in the declaration) whether the planned action require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s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 building permission </w:t>
            </w:r>
            <w:r w:rsidR="00343802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or not. If the activit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y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require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s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 building permission, then </w:t>
            </w:r>
            <w:r w:rsidR="004B159A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the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beneficiar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y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attach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es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 scan </w:t>
            </w:r>
            <w:r w:rsidR="00343802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of the building permission (if 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available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) or mark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>s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the option </w:t>
            </w:r>
            <w:r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that it be submitted </w:t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at the latest within </w:t>
            </w:r>
            <w:r w:rsidR="00343802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3 months after the date of the award notification letter. </w:t>
            </w:r>
          </w:p>
          <w:p w:rsidR="00FB2E0E" w:rsidRPr="00D05730" w:rsidRDefault="00FB2E0E" w:rsidP="00662822">
            <w:pPr>
              <w:ind w:left="34"/>
              <w:jc w:val="both"/>
              <w:rPr>
                <w:rFonts w:ascii="Arial" w:eastAsia="Calibri" w:hAnsi="Arial" w:cs="Arial"/>
                <w:color w:val="000000" w:themeColor="text1"/>
                <w:lang w:val="en-US"/>
              </w:rPr>
            </w:pPr>
          </w:p>
        </w:tc>
      </w:tr>
      <w:tr w:rsidR="00A404A7" w:rsidRPr="00D05730" w:rsidTr="00343802">
        <w:trPr>
          <w:trHeight w:val="554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9B76ED">
            <w:pPr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5. Is it possible to prepare technical documentation </w:t>
            </w:r>
            <w:r w:rsidR="0029368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for an infrastructural object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and </w:t>
            </w:r>
            <w:r w:rsidR="0029368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then </w:t>
            </w:r>
            <w:r w:rsidR="0034380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to build </w:t>
            </w:r>
            <w:r w:rsidR="003F5EA3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this infrastructural object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within one project? </w:t>
            </w:r>
          </w:p>
        </w:tc>
      </w:tr>
      <w:tr w:rsidR="00A404A7" w:rsidRPr="00D05730" w:rsidTr="00A404A7">
        <w:trPr>
          <w:trHeight w:val="257"/>
        </w:trPr>
        <w:tc>
          <w:tcPr>
            <w:tcW w:w="10144" w:type="dxa"/>
          </w:tcPr>
          <w:p w:rsidR="003F5EA3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It is not possible to prepare technical documentation and </w:t>
            </w:r>
            <w:r w:rsidR="003F5EA3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then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carry out </w:t>
            </w:r>
            <w:r w:rsidR="003F5EA3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an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investment </w:t>
            </w:r>
            <w:r w:rsidR="003F5EA3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for the same infrastructural object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within one project. </w:t>
            </w:r>
            <w:r w:rsidR="003F5EA3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Within a project implementation period, either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preparation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of technical documentation or construction</w:t>
            </w:r>
            <w:r w:rsidR="003F5EA3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of an infrastructural object can be carried out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:rsidR="009B76ED" w:rsidRPr="00D05730" w:rsidRDefault="003F5EA3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However, if technical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documentation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is prepared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before 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start of the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>project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then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its cost m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ay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be included as part of the infrastructure component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costs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>under the retroactive grant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85400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– please consult point 6.2. Eligible costs in </w:t>
            </w:r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The </w:t>
            </w:r>
            <w:proofErr w:type="spellStart"/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>Programme</w:t>
            </w:r>
            <w:proofErr w:type="spellEnd"/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Manual Part I – Applicant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9B76ED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. This cost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can be borne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only after </w:t>
            </w:r>
            <w:r w:rsidR="009B76ED" w:rsidRPr="00D05730">
              <w:rPr>
                <w:rFonts w:ascii="Arial" w:eastAsia="Calibri" w:hAnsi="Arial" w:cs="Arial"/>
                <w:color w:val="000000" w:themeColor="text1"/>
                <w:lang w:val="en-US"/>
              </w:rPr>
              <w:t>8th December 2016</w:t>
            </w:r>
            <w:r w:rsidRPr="00D05730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for Polish beneficiaries and after the signing of the Financing Agreement for Russian beneficiaries</w:t>
            </w:r>
            <w:r w:rsidR="009B76ED" w:rsidRPr="00D05730">
              <w:rPr>
                <w:rFonts w:ascii="Arial" w:eastAsia="Calibri" w:hAnsi="Arial" w:cs="Arial"/>
                <w:color w:val="000000" w:themeColor="text1"/>
                <w:lang w:val="en-US"/>
              </w:rPr>
              <w:t>.</w:t>
            </w:r>
          </w:p>
          <w:p w:rsidR="00987EBE" w:rsidRPr="00D05730" w:rsidRDefault="00987EBE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404A7" w:rsidRPr="00D05730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9B76ED">
            <w:pPr>
              <w:pStyle w:val="Zwykytek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6. </w:t>
            </w:r>
            <w:r w:rsidR="004F2F15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What are the requirements for submitting the </w:t>
            </w:r>
            <w:r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Environmental Impact Assessment </w:t>
            </w:r>
            <w:r w:rsidR="00343802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="004F2F15" w:rsidRPr="00D0573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for a project? Shall Polish and Russian partners prepare separate documents? </w:t>
            </w:r>
          </w:p>
        </w:tc>
      </w:tr>
      <w:tr w:rsidR="00A404A7" w:rsidRPr="00D05730" w:rsidTr="00A404A7">
        <w:trPr>
          <w:trHeight w:val="272"/>
        </w:trPr>
        <w:tc>
          <w:tcPr>
            <w:tcW w:w="10144" w:type="dxa"/>
          </w:tcPr>
          <w:p w:rsidR="009B76ED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The documentation regarding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Environmental Impact Assessment refers only to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infrastructural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>projects. B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eneficiar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>ies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should provide relevant documentation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 relation to every infrastructural component. If no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environmental documentation 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is required in accordance with national legislation,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 written statement issued by </w:t>
            </w:r>
            <w:r w:rsidR="004B159A" w:rsidRPr="00D05730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relevant institution</w:t>
            </w:r>
            <w:r w:rsidR="004F2F15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shall be submitted along with the 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>application form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:rsidR="00987EBE" w:rsidRPr="00D05730" w:rsidRDefault="00987EBE" w:rsidP="00662822">
            <w:p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A404A7" w:rsidRPr="00D05730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343802">
            <w:pPr>
              <w:ind w:left="34"/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.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What are the requirements concerning preparation of technical documentation?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Does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the documentation, which is included in the preparatory costs and made before the project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proposal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submission, have to include the EU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logo</w:t>
            </w:r>
            <w:r w:rsidR="00186B86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? Should it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be paid from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a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separate account? What kind of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financial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documents should be collected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for reporting these costs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(invoices, bank statements, etc.)? Is there any</w:t>
            </w:r>
            <w:r w:rsidR="00186B86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limit for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the amount of these costs? D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oes the cost of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technical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documentation </w:t>
            </w:r>
            <w:r w:rsidR="001621AF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preparation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increase the overall budget of the project?</w:t>
            </w:r>
          </w:p>
        </w:tc>
      </w:tr>
      <w:tr w:rsidR="00335AEE" w:rsidRPr="00D05730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9B76ED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First of all, we would like to emphasize that the costs of prepar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ation of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technical documentation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and feasibility studies are not preparatory costs of the project. The preparatory costs concern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only preparation of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strong partnership (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i.e.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travel and subsistence costs of staff employed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by the beneficiaries). Whereas, preparation of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>technical d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ocumentation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>and feasibility studies r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elate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to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infrastructure component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, and they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may be awarded retroactively. These two issues,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i.e. preparatory costs and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retroactive grant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–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should be clearly separated</w:t>
            </w:r>
            <w:r w:rsidR="00485400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(please consult point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485400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6.2. Eligible costs in </w:t>
            </w:r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The </w:t>
            </w:r>
            <w:proofErr w:type="spellStart"/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>Programme</w:t>
            </w:r>
            <w:proofErr w:type="spellEnd"/>
            <w:r w:rsidR="00485400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Manual Part I – Applicant</w:t>
            </w:r>
            <w:r w:rsidR="00485400" w:rsidRPr="00D05730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:rsidR="00186B86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technical documentation related to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infrastructure component, which will be realized within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the project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should be included in budget heading number 6 (infrastructure component). </w:t>
            </w:r>
          </w:p>
          <w:p w:rsidR="009B76ED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When it comes to the vis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ibility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elements (i.e. the EU flag, the logo of the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, etc.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), they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are mandatory for all communication products of the project, purchased equipment, implemented infrastructure, etc.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A d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ifferent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>situation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is when the documentation is made before the project start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and without any guarantee that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 will obtain a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grant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. In addition, in case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it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isn’t supported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by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the Poland-Russia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, the same documentation may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still used when applying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for funding for a given investment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to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other funds.</w:t>
            </w:r>
          </w:p>
          <w:p w:rsidR="00186B86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documentation does not need to be paid from a separate account. It can be paid from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"general" account, and if the project receives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a grant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, these costs should be transferred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to the project account. </w:t>
            </w:r>
          </w:p>
          <w:p w:rsidR="009B76ED" w:rsidRPr="00D05730" w:rsidRDefault="009B76ED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There is no difference between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eligibility of documentation and other project costs </w:t>
            </w:r>
            <w:r w:rsidR="00186B86" w:rsidRPr="00D05730">
              <w:rPr>
                <w:rFonts w:ascii="Arial" w:hAnsi="Arial" w:cs="Arial"/>
                <w:lang w:val="en-US"/>
              </w:rPr>
              <w:t>–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the expenditure should be reasonable, justified, rational and supported by documents (e.g. invoice, bank transfer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, etc.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) and made in accordance with public procurement rules.</w:t>
            </w:r>
          </w:p>
          <w:p w:rsidR="00186B86" w:rsidRPr="00D05730" w:rsidRDefault="009B76ED" w:rsidP="00186B86">
            <w:pPr>
              <w:ind w:left="34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There is no 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financial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limit of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expenditures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that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can be spent on technical documentation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preparation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:rsidR="00987EBE" w:rsidRPr="00D05730" w:rsidRDefault="009B76ED" w:rsidP="00186B86">
            <w:pPr>
              <w:ind w:left="34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If the costs of technical documentation are included in the project budget,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this will increase the c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ost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of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project </w:t>
            </w:r>
            <w:r w:rsidR="00CE4B9F" w:rsidRPr="00D05730">
              <w:rPr>
                <w:rFonts w:ascii="Arial" w:hAnsi="Arial" w:cs="Arial"/>
                <w:color w:val="000000" w:themeColor="text1"/>
                <w:lang w:val="en-US"/>
              </w:rPr>
              <w:t>respectively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:rsidR="00987EBE" w:rsidRPr="00D05730" w:rsidRDefault="00987EBE" w:rsidP="00662822">
            <w:pPr>
              <w:ind w:left="34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35AEE" w:rsidRPr="00D05730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343802">
            <w:pPr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. Can </w:t>
            </w:r>
            <w:r w:rsidR="0048049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preparatory 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costs be higher or lower than 5</w:t>
            </w:r>
            <w:r w:rsidR="0048049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,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000 euro? May the</w:t>
            </w:r>
            <w:r w:rsidR="0048049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se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expenditures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be incur</w:t>
            </w:r>
            <w:r w:rsidR="00186B86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red</w:t>
            </w:r>
            <w:r w:rsidR="009B76ED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before or after the announcement of the call for proposals? </w:t>
            </w:r>
          </w:p>
        </w:tc>
      </w:tr>
      <w:tr w:rsidR="00335AEE" w:rsidRPr="00D05730" w:rsidTr="00343802">
        <w:trPr>
          <w:trHeight w:val="1117"/>
        </w:trPr>
        <w:tc>
          <w:tcPr>
            <w:tcW w:w="10144" w:type="dxa"/>
            <w:shd w:val="clear" w:color="auto" w:fill="auto"/>
          </w:tcPr>
          <w:p w:rsidR="00662822" w:rsidRPr="00D05730" w:rsidRDefault="00480492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oint 6.2.2 (Eligibility of preparatory costs) of </w:t>
            </w:r>
            <w:r w:rsidR="008B23CD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The </w:t>
            </w:r>
            <w:proofErr w:type="spellStart"/>
            <w:r w:rsidR="008B23CD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>Programme</w:t>
            </w:r>
            <w:proofErr w:type="spellEnd"/>
            <w:r w:rsidR="008B23CD" w:rsidRPr="00D05730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Manual Part I – Applicant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sets out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1621AF" w:rsidRPr="00D05730"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>he requirements concerning preparatory costs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These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costs </w:t>
            </w:r>
            <w:r w:rsidR="006603D7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relate to the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>prepar</w:t>
            </w:r>
            <w:r w:rsidR="006603D7" w:rsidRPr="00D05730">
              <w:rPr>
                <w:rFonts w:ascii="Arial" w:hAnsi="Arial" w:cs="Arial"/>
                <w:color w:val="000000" w:themeColor="text1"/>
                <w:lang w:val="en-US"/>
              </w:rPr>
              <w:t>ation of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 strong partnership before submitting an application form. They are limited to travel and subsistence costs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of </w:t>
            </w:r>
            <w:r w:rsidR="006603D7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>staff employed by the beneficiaries</w:t>
            </w:r>
            <w:r w:rsidR="007D705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and mainly relate to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meetings </w:t>
            </w:r>
            <w:r w:rsidR="007D705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carried out for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>prepar</w:t>
            </w:r>
            <w:r w:rsidR="007D705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ation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7D705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of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application form. Preparatory costs for regular projects 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will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only 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be </w:t>
            </w:r>
            <w:r w:rsidR="00662822" w:rsidRPr="00D05730">
              <w:rPr>
                <w:rFonts w:ascii="Arial" w:hAnsi="Arial" w:cs="Arial"/>
                <w:color w:val="000000" w:themeColor="text1"/>
                <w:lang w:val="en-US"/>
              </w:rPr>
              <w:t>eligible if they are incurred after the publication of the call for proposals.</w:t>
            </w:r>
          </w:p>
          <w:p w:rsidR="00343802" w:rsidRPr="00D05730" w:rsidRDefault="00662822" w:rsidP="00343802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amount of these costs is 5,000 euro per project </w:t>
            </w:r>
            <w:r w:rsidR="008B23CD" w:rsidRPr="00D05730">
              <w:rPr>
                <w:rFonts w:ascii="Arial" w:hAnsi="Arial" w:cs="Arial"/>
                <w:lang w:val="en-US"/>
              </w:rPr>
              <w:t xml:space="preserve">(not up to 5,000 euro or around 5,000 euro </w:t>
            </w:r>
            <w:r w:rsidR="00343802" w:rsidRPr="00D05730">
              <w:rPr>
                <w:rFonts w:ascii="Arial" w:hAnsi="Arial" w:cs="Arial"/>
                <w:lang w:val="en-US"/>
              </w:rPr>
              <w:br/>
            </w:r>
            <w:r w:rsidR="008B23CD" w:rsidRPr="00D05730">
              <w:rPr>
                <w:rFonts w:ascii="Arial" w:hAnsi="Arial" w:cs="Arial"/>
                <w:lang w:val="en-US"/>
              </w:rPr>
              <w:t xml:space="preserve">but exactly 5,000 euro) and takes the form of a lump sum. It means that there is no obligation </w:t>
            </w:r>
            <w:r w:rsidR="00343802" w:rsidRPr="00D05730">
              <w:rPr>
                <w:rFonts w:ascii="Arial" w:hAnsi="Arial" w:cs="Arial"/>
                <w:lang w:val="en-US"/>
              </w:rPr>
              <w:br/>
            </w:r>
            <w:r w:rsidR="008B23CD" w:rsidRPr="00D05730">
              <w:rPr>
                <w:rFonts w:ascii="Arial" w:hAnsi="Arial" w:cs="Arial"/>
                <w:lang w:val="en-US"/>
              </w:rPr>
              <w:t xml:space="preserve">for submitting any invoices or other financial documents as a proof of the incurred costs. However, </w:t>
            </w:r>
            <w:r w:rsidR="00343802" w:rsidRPr="00D05730">
              <w:rPr>
                <w:rFonts w:ascii="Arial" w:hAnsi="Arial" w:cs="Arial"/>
                <w:lang w:val="en-US"/>
              </w:rPr>
              <w:br/>
            </w:r>
            <w:r w:rsidR="008B23CD" w:rsidRPr="00D05730">
              <w:rPr>
                <w:rFonts w:ascii="Arial" w:hAnsi="Arial" w:cs="Arial"/>
                <w:lang w:val="en-US"/>
              </w:rPr>
              <w:t xml:space="preserve">we encourage the beneficiaries to confirm the joint preparation of the application forms by collecting </w:t>
            </w:r>
            <w:r w:rsidR="008B23CD" w:rsidRPr="00D05730">
              <w:rPr>
                <w:rFonts w:ascii="Arial" w:hAnsi="Arial" w:cs="Arial"/>
                <w:lang w:val="en-US"/>
              </w:rPr>
              <w:lastRenderedPageBreak/>
              <w:t>photos from the meetings, preparing list of participants and minutes, etc.</w:t>
            </w:r>
            <w:r w:rsidR="00343802" w:rsidRPr="00D05730">
              <w:rPr>
                <w:rFonts w:ascii="Arial" w:hAnsi="Arial" w:cs="Arial"/>
                <w:lang w:val="en-US"/>
              </w:rPr>
              <w:br/>
            </w:r>
            <w:r w:rsidR="008B23CD" w:rsidRPr="00D05730">
              <w:rPr>
                <w:rFonts w:ascii="Arial" w:hAnsi="Arial" w:cs="Arial"/>
                <w:lang w:val="en-US"/>
              </w:rPr>
              <w:t xml:space="preserve">The lump sum of 5,000 euro means that the real costs incurred by the beneficiaries may be higher </w:t>
            </w:r>
            <w:r w:rsidR="00343802" w:rsidRPr="00D05730">
              <w:rPr>
                <w:rFonts w:ascii="Arial" w:hAnsi="Arial" w:cs="Arial"/>
                <w:lang w:val="en-US"/>
              </w:rPr>
              <w:br/>
            </w:r>
            <w:r w:rsidR="008B23CD" w:rsidRPr="00D05730">
              <w:rPr>
                <w:rFonts w:ascii="Arial" w:hAnsi="Arial" w:cs="Arial"/>
                <w:lang w:val="en-US"/>
              </w:rPr>
              <w:t xml:space="preserve">or lower than 5,000 euro, but regardless of the costs incurred the amount has to be constant and equal to 5,000 euro. </w:t>
            </w:r>
          </w:p>
        </w:tc>
      </w:tr>
      <w:tr w:rsidR="00335AEE" w:rsidRPr="00D05730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037851" w:rsidRPr="00D05730" w:rsidRDefault="00343802">
            <w:pPr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lastRenderedPageBreak/>
              <w:t>9</w:t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. </w:t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Can </w:t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part of the activities be </w:t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implemented </w:t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outside the </w:t>
            </w:r>
            <w:proofErr w:type="spellStart"/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Programme</w:t>
            </w:r>
            <w:proofErr w:type="spellEnd"/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area?</w:t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For example,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if a project plans to carry out a study/</w:t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analysis </w:t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outside</w:t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the </w:t>
            </w:r>
            <w:proofErr w:type="spellStart"/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Programme</w:t>
            </w:r>
            <w:proofErr w:type="spellEnd"/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area</w:t>
            </w:r>
            <w:r w:rsidR="00742D80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, will this cost </w:t>
            </w:r>
            <w:r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br/>
            </w:r>
            <w:r w:rsidR="00662822" w:rsidRPr="00D05730">
              <w:rPr>
                <w:rFonts w:ascii="Arial" w:hAnsi="Arial" w:cs="Arial"/>
                <w:b/>
                <w:color w:val="000000" w:themeColor="text1"/>
                <w:lang w:val="en-US"/>
              </w:rPr>
              <w:t>be treated eligible?</w:t>
            </w:r>
          </w:p>
        </w:tc>
      </w:tr>
      <w:tr w:rsidR="00335AEE" w:rsidRPr="00D05730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662822" w:rsidRPr="00D05730" w:rsidRDefault="00662822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In special cases, projects may be partially implemented outside the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Program</w:t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>me</w:t>
            </w:r>
            <w:proofErr w:type="spellEnd"/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area</w:t>
            </w:r>
            <w:r w:rsidR="00976E5C" w:rsidRPr="00D05730">
              <w:rPr>
                <w:rFonts w:ascii="Arial" w:hAnsi="Arial" w:cs="Arial"/>
                <w:color w:val="000000" w:themeColor="text1"/>
                <w:lang w:val="en-US"/>
              </w:rPr>
              <w:t>; h</w:t>
            </w:r>
            <w:r w:rsidR="00742D80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owever,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="00186B86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they have to </w:t>
            </w:r>
            <w:r w:rsidR="00742D80" w:rsidRPr="00D05730">
              <w:rPr>
                <w:rFonts w:ascii="Arial" w:hAnsi="Arial" w:cs="Arial"/>
                <w:color w:val="000000" w:themeColor="text1"/>
                <w:lang w:val="en-US"/>
              </w:rPr>
              <w:t>fulfill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42D80"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several </w:t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conditions: </w:t>
            </w:r>
          </w:p>
          <w:p w:rsidR="00662822" w:rsidRPr="00D05730" w:rsidRDefault="00662822" w:rsidP="006628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projects are necessary for achieving the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Programme's</w:t>
            </w:r>
            <w:proofErr w:type="spellEnd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objectives and they benefit </w:t>
            </w:r>
            <w:r w:rsidR="00343802" w:rsidRPr="00D05730">
              <w:rPr>
                <w:rFonts w:ascii="Arial" w:hAnsi="Arial" w:cs="Arial"/>
                <w:color w:val="000000" w:themeColor="text1"/>
                <w:lang w:val="en-US"/>
              </w:rPr>
              <w:br/>
            </w: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proofErr w:type="spellStart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 area; </w:t>
            </w:r>
          </w:p>
          <w:p w:rsidR="00662822" w:rsidRPr="00D05730" w:rsidRDefault="00662822" w:rsidP="006628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the total amount allocated under the Programme to activities outside the Programme area does not exceed 10% of the Union contribution at the Programme level;</w:t>
            </w:r>
          </w:p>
          <w:p w:rsidR="00662822" w:rsidRPr="00D05730" w:rsidRDefault="00662822" w:rsidP="006628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>activities outside the Programme area cannot be of investment and/or infrastructure character</w:t>
            </w:r>
            <w:r w:rsidR="00742D80" w:rsidRPr="00D05730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:rsidR="00037851" w:rsidRPr="00D05730" w:rsidRDefault="00037851">
            <w:pPr>
              <w:pStyle w:val="Akapitzlist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87EBE" w:rsidRPr="00D05730" w:rsidRDefault="00662822" w:rsidP="0066282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D05730">
              <w:rPr>
                <w:rFonts w:ascii="Arial" w:hAnsi="Arial" w:cs="Arial"/>
                <w:color w:val="000000" w:themeColor="text1"/>
                <w:lang w:val="en-US"/>
              </w:rPr>
              <w:t xml:space="preserve">Additionally, the activities that will be implemented outside the Programme area can only be carried out on the territory of Poland and Russia. </w:t>
            </w:r>
          </w:p>
          <w:p w:rsidR="00987EBE" w:rsidRPr="00D05730" w:rsidRDefault="00987EBE" w:rsidP="00662822">
            <w:pPr>
              <w:ind w:left="34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0164E8" w:rsidRPr="00D05730" w:rsidRDefault="000164E8" w:rsidP="00662822">
      <w:pPr>
        <w:jc w:val="both"/>
        <w:rPr>
          <w:rFonts w:ascii="Arial" w:hAnsi="Arial" w:cs="Arial"/>
          <w:color w:val="000000" w:themeColor="text1"/>
          <w:lang w:val="en-GB"/>
        </w:rPr>
      </w:pPr>
    </w:p>
    <w:sectPr w:rsidR="000164E8" w:rsidRPr="00D05730" w:rsidSect="00A404A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0B" w:rsidRDefault="00265D0B" w:rsidP="000164E8">
      <w:pPr>
        <w:spacing w:after="0" w:line="240" w:lineRule="auto"/>
      </w:pPr>
      <w:r>
        <w:separator/>
      </w:r>
    </w:p>
  </w:endnote>
  <w:endnote w:type="continuationSeparator" w:id="0">
    <w:p w:rsidR="00265D0B" w:rsidRDefault="00265D0B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976E5C" w:rsidRDefault="00037851">
        <w:pPr>
          <w:pStyle w:val="Stopka"/>
          <w:jc w:val="right"/>
        </w:pPr>
        <w:fldSimple w:instr=" PAGE   \* MERGEFORMAT ">
          <w:r w:rsidR="00D05730">
            <w:rPr>
              <w:noProof/>
            </w:rPr>
            <w:t>3</w:t>
          </w:r>
        </w:fldSimple>
      </w:p>
    </w:sdtContent>
  </w:sdt>
  <w:p w:rsidR="00976E5C" w:rsidRDefault="00976E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0B" w:rsidRDefault="00265D0B" w:rsidP="000164E8">
      <w:pPr>
        <w:spacing w:after="0" w:line="240" w:lineRule="auto"/>
      </w:pPr>
      <w:r>
        <w:separator/>
      </w:r>
    </w:p>
  </w:footnote>
  <w:footnote w:type="continuationSeparator" w:id="0">
    <w:p w:rsidR="00265D0B" w:rsidRDefault="00265D0B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5C" w:rsidRDefault="00976E5C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September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976E5C" w:rsidRPr="00A404A7" w:rsidRDefault="00976E5C" w:rsidP="00A404A7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74"/>
    <w:multiLevelType w:val="hybridMultilevel"/>
    <w:tmpl w:val="5BD45FB4"/>
    <w:lvl w:ilvl="0" w:tplc="9D94C00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BD6"/>
    <w:multiLevelType w:val="hybridMultilevel"/>
    <w:tmpl w:val="3FDA1E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3DE5"/>
    <w:multiLevelType w:val="hybridMultilevel"/>
    <w:tmpl w:val="6536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10FA072D"/>
    <w:multiLevelType w:val="hybridMultilevel"/>
    <w:tmpl w:val="5A2A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511"/>
    <w:multiLevelType w:val="hybridMultilevel"/>
    <w:tmpl w:val="3E00F0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B3C"/>
    <w:multiLevelType w:val="hybridMultilevel"/>
    <w:tmpl w:val="CCE027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1D93"/>
    <w:multiLevelType w:val="hybridMultilevel"/>
    <w:tmpl w:val="8B78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5A08"/>
    <w:multiLevelType w:val="hybridMultilevel"/>
    <w:tmpl w:val="2300096C"/>
    <w:lvl w:ilvl="0" w:tplc="AFD04F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4166"/>
    <w:multiLevelType w:val="hybridMultilevel"/>
    <w:tmpl w:val="CB1C81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50098"/>
    <w:multiLevelType w:val="hybridMultilevel"/>
    <w:tmpl w:val="944A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07925"/>
    <w:multiLevelType w:val="hybridMultilevel"/>
    <w:tmpl w:val="0FCC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F6C4F"/>
    <w:multiLevelType w:val="hybridMultilevel"/>
    <w:tmpl w:val="15B40E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C45058"/>
    <w:multiLevelType w:val="hybridMultilevel"/>
    <w:tmpl w:val="C5329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6808"/>
    <w:multiLevelType w:val="hybridMultilevel"/>
    <w:tmpl w:val="BCBE5D12"/>
    <w:lvl w:ilvl="0" w:tplc="DA3CD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12"/>
  </w:num>
  <w:num w:numId="10">
    <w:abstractNumId w:val="22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21"/>
  </w:num>
  <w:num w:numId="17">
    <w:abstractNumId w:val="13"/>
  </w:num>
  <w:num w:numId="18">
    <w:abstractNumId w:val="6"/>
  </w:num>
  <w:num w:numId="19">
    <w:abstractNumId w:val="0"/>
  </w:num>
  <w:num w:numId="20">
    <w:abstractNumId w:val="11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164E8"/>
    <w:rsid w:val="000164E8"/>
    <w:rsid w:val="00037851"/>
    <w:rsid w:val="001621AF"/>
    <w:rsid w:val="00186B86"/>
    <w:rsid w:val="001B4409"/>
    <w:rsid w:val="00203714"/>
    <w:rsid w:val="002073F3"/>
    <w:rsid w:val="00265D0B"/>
    <w:rsid w:val="0029368F"/>
    <w:rsid w:val="002C0540"/>
    <w:rsid w:val="002F1BCF"/>
    <w:rsid w:val="00335AEE"/>
    <w:rsid w:val="00343802"/>
    <w:rsid w:val="00353AB5"/>
    <w:rsid w:val="003C3300"/>
    <w:rsid w:val="003E4EA0"/>
    <w:rsid w:val="003F4E02"/>
    <w:rsid w:val="003F5EA3"/>
    <w:rsid w:val="00402587"/>
    <w:rsid w:val="00480492"/>
    <w:rsid w:val="00485400"/>
    <w:rsid w:val="004B159A"/>
    <w:rsid w:val="004E4678"/>
    <w:rsid w:val="004F2F15"/>
    <w:rsid w:val="00514060"/>
    <w:rsid w:val="00530277"/>
    <w:rsid w:val="00575553"/>
    <w:rsid w:val="005C5861"/>
    <w:rsid w:val="006541DB"/>
    <w:rsid w:val="006603D7"/>
    <w:rsid w:val="00662822"/>
    <w:rsid w:val="00712A5F"/>
    <w:rsid w:val="00742D80"/>
    <w:rsid w:val="007D7052"/>
    <w:rsid w:val="00812145"/>
    <w:rsid w:val="008416C8"/>
    <w:rsid w:val="0084303E"/>
    <w:rsid w:val="008B23CD"/>
    <w:rsid w:val="008D3FE8"/>
    <w:rsid w:val="00976E5C"/>
    <w:rsid w:val="00987EBE"/>
    <w:rsid w:val="009B76ED"/>
    <w:rsid w:val="00A336EC"/>
    <w:rsid w:val="00A404A7"/>
    <w:rsid w:val="00AC0083"/>
    <w:rsid w:val="00C36FB1"/>
    <w:rsid w:val="00CE4B9F"/>
    <w:rsid w:val="00CE7C7C"/>
    <w:rsid w:val="00CF2DFC"/>
    <w:rsid w:val="00D05730"/>
    <w:rsid w:val="00D34D54"/>
    <w:rsid w:val="00DB537C"/>
    <w:rsid w:val="00DC062D"/>
    <w:rsid w:val="00E128AC"/>
    <w:rsid w:val="00E7189C"/>
    <w:rsid w:val="00EC3792"/>
    <w:rsid w:val="00FB2E0E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Zwykytekst">
    <w:name w:val="Plain Text"/>
    <w:basedOn w:val="Normalny"/>
    <w:link w:val="ZwykytekstZnak"/>
    <w:uiPriority w:val="99"/>
    <w:unhideWhenUsed/>
    <w:rsid w:val="009B76ED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76ED"/>
    <w:rPr>
      <w:rFonts w:ascii="Consolas" w:hAnsi="Consolas" w:cs="Consolas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0648-5F6A-46C1-81DE-5D5BDA1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1277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Katarzyna Wantoch-Rekowska</cp:lastModifiedBy>
  <cp:revision>11</cp:revision>
  <cp:lastPrinted>2017-09-11T09:42:00Z</cp:lastPrinted>
  <dcterms:created xsi:type="dcterms:W3CDTF">2017-09-08T13:55:00Z</dcterms:created>
  <dcterms:modified xsi:type="dcterms:W3CDTF">2017-11-10T14:47:00Z</dcterms:modified>
</cp:coreProperties>
</file>