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10144"/>
      </w:tblGrid>
      <w:tr w:rsidR="008A19CA" w:rsidRPr="004325E7" w:rsidTr="00E67C7A">
        <w:trPr>
          <w:trHeight w:val="1117"/>
        </w:trPr>
        <w:tc>
          <w:tcPr>
            <w:tcW w:w="10144" w:type="dxa"/>
            <w:shd w:val="clear" w:color="auto" w:fill="D9D9D9" w:themeFill="background1" w:themeFillShade="D9"/>
          </w:tcPr>
          <w:p w:rsidR="008A19CA" w:rsidRPr="004325E7" w:rsidRDefault="008A19CA" w:rsidP="004325E7">
            <w:pPr>
              <w:jc w:val="both"/>
              <w:rPr>
                <w:b/>
                <w:color w:val="000000" w:themeColor="text1"/>
              </w:rPr>
            </w:pPr>
            <w:r w:rsidRPr="004325E7">
              <w:rPr>
                <w:b/>
                <w:color w:val="000000" w:themeColor="text1"/>
              </w:rPr>
              <w:t>1. Ile audytów będzie przeprowadzonych podczas realizacji projektu? Czy konieczne będzie przeprowadzenie audytu wydatków osobno dla każdego z partnerów (np. osobno audyt dla partnera polskiego i osobno dla partnera rosyjskiego)? Czy wydatki związane z audytem powinny być zaplanowane w budżecie dla każdego partnera ?</w:t>
            </w:r>
          </w:p>
        </w:tc>
      </w:tr>
      <w:tr w:rsidR="008A19CA" w:rsidRPr="004325E7" w:rsidTr="00E67C7A">
        <w:trPr>
          <w:trHeight w:val="1915"/>
        </w:trPr>
        <w:tc>
          <w:tcPr>
            <w:tcW w:w="10144" w:type="dxa"/>
          </w:tcPr>
          <w:p w:rsidR="008A19CA" w:rsidRPr="004325E7" w:rsidRDefault="008A19CA" w:rsidP="004325E7">
            <w:pPr>
              <w:jc w:val="both"/>
              <w:rPr>
                <w:color w:val="000000" w:themeColor="text1"/>
              </w:rPr>
            </w:pPr>
            <w:r w:rsidRPr="004325E7">
              <w:rPr>
                <w:color w:val="000000" w:themeColor="text1"/>
              </w:rPr>
              <w:t xml:space="preserve">Liczba audytów dotyczących skonsolidowanych raportów finansowych podczas realizacji projektu będzie zależała od formy otrzymywania </w:t>
            </w:r>
            <w:proofErr w:type="spellStart"/>
            <w:r w:rsidRPr="004325E7">
              <w:rPr>
                <w:color w:val="000000" w:themeColor="text1"/>
              </w:rPr>
              <w:t>funduszy</w:t>
            </w:r>
            <w:proofErr w:type="spellEnd"/>
            <w:r w:rsidRPr="004325E7">
              <w:rPr>
                <w:color w:val="000000" w:themeColor="text1"/>
              </w:rPr>
              <w:t xml:space="preserve"> z Instytucji Zarządzającej, która będzie wybrana przez projekt: </w:t>
            </w:r>
          </w:p>
          <w:p w:rsidR="008A19CA" w:rsidRPr="004325E7" w:rsidRDefault="008A19CA" w:rsidP="004325E7">
            <w:pPr>
              <w:pStyle w:val="Akapitzlist"/>
              <w:numPr>
                <w:ilvl w:val="0"/>
                <w:numId w:val="5"/>
              </w:numPr>
              <w:contextualSpacing w:val="0"/>
              <w:jc w:val="both"/>
              <w:rPr>
                <w:color w:val="000000" w:themeColor="text1"/>
              </w:rPr>
            </w:pPr>
            <w:r w:rsidRPr="004325E7">
              <w:rPr>
                <w:color w:val="000000" w:themeColor="text1"/>
              </w:rPr>
              <w:t>w przypadku wyboru opcji nr 1 (</w:t>
            </w:r>
            <w:proofErr w:type="spellStart"/>
            <w:r w:rsidRPr="004325E7">
              <w:rPr>
                <w:color w:val="000000" w:themeColor="text1"/>
              </w:rPr>
              <w:t>prefinansowanie</w:t>
            </w:r>
            <w:proofErr w:type="spellEnd"/>
            <w:r w:rsidRPr="004325E7">
              <w:rPr>
                <w:color w:val="000000" w:themeColor="text1"/>
              </w:rPr>
              <w:t xml:space="preserve"> w wysokości maksymalnie 35% wartości dofinansowania + płatność okresowa w wysokości maksymalnie 50% wartości dofinansowania + płatność końcowa w wysokości maksymalnie 15% dofinansowania) należy zaplanować przeprowadzenie audytu 2 raportów skonsolidowanych (okresowego </w:t>
            </w:r>
            <w:r w:rsidRPr="004325E7">
              <w:rPr>
                <w:color w:val="000000" w:themeColor="text1"/>
              </w:rPr>
              <w:br/>
              <w:t xml:space="preserve">i końcowego); </w:t>
            </w:r>
          </w:p>
          <w:p w:rsidR="008A19CA" w:rsidRPr="004325E7" w:rsidRDefault="008A19CA" w:rsidP="004325E7">
            <w:pPr>
              <w:pStyle w:val="Akapitzlist"/>
              <w:numPr>
                <w:ilvl w:val="0"/>
                <w:numId w:val="5"/>
              </w:numPr>
              <w:contextualSpacing w:val="0"/>
              <w:jc w:val="both"/>
              <w:rPr>
                <w:color w:val="000000" w:themeColor="text1"/>
              </w:rPr>
            </w:pPr>
            <w:r w:rsidRPr="004325E7">
              <w:rPr>
                <w:color w:val="000000" w:themeColor="text1"/>
              </w:rPr>
              <w:t xml:space="preserve">w przypadku wyboru opcji nr 2 (płatność końcowa w wysokości 100% dofinansowania) należy zaplanować przeprowadzenie 1 audytu skonsolidowanego. </w:t>
            </w:r>
          </w:p>
          <w:p w:rsidR="008A19CA" w:rsidRPr="004325E7" w:rsidRDefault="008A19CA" w:rsidP="004325E7">
            <w:pPr>
              <w:jc w:val="both"/>
              <w:rPr>
                <w:color w:val="FF0000"/>
              </w:rPr>
            </w:pPr>
            <w:r w:rsidRPr="004325E7">
              <w:rPr>
                <w:color w:val="000000" w:themeColor="text1"/>
              </w:rPr>
              <w:t xml:space="preserve">Jednakże przed audytem raportu skonsolidowanego, każdy z partnerów, włączając w to partnera </w:t>
            </w:r>
            <w:r w:rsidRPr="004325E7">
              <w:t xml:space="preserve">wiodącego, musi przygotować indywidualny raport finansowy za dany okres, który będzie przedmiotem audytu (każdy </w:t>
            </w:r>
            <w:proofErr w:type="spellStart"/>
            <w:r w:rsidRPr="004325E7">
              <w:t>partner</w:t>
            </w:r>
            <w:proofErr w:type="spellEnd"/>
            <w:r w:rsidRPr="004325E7">
              <w:t xml:space="preserve"> wybiera swojego audytora). Dopiero po tym </w:t>
            </w:r>
            <w:proofErr w:type="spellStart"/>
            <w:r w:rsidRPr="004325E7">
              <w:t>partner</w:t>
            </w:r>
            <w:proofErr w:type="spellEnd"/>
            <w:r w:rsidRPr="004325E7">
              <w:t xml:space="preserve"> wiodący będzie zobowiązany przygotować raport skonsolidowany obejmujący wszystkie wydatki w ramach projektu (tzn. wszystkich partnerów za dany okres) oraz przedłożyć go do weryfikacji swojemu audytorowi. Następnie zweryfikowany przez audytora skonsolidowany raport będzie przedmiotem weryfikacji przez organy Programu. Dlatego też należy dokładnie zaplanować ilość skonsolidowanych oraz indywidualnych audytów oraz ująć ich koszty w budżecie. Wymagania Programu dotyczące wyboru polskich i rosyjskich audytorów zostaną określone na późniejszym etapie.</w:t>
            </w:r>
          </w:p>
          <w:p w:rsidR="008A19CA" w:rsidRPr="004325E7" w:rsidRDefault="008A19CA" w:rsidP="004325E7">
            <w:pPr>
              <w:jc w:val="both"/>
              <w:rPr>
                <w:rFonts w:cs="Arial"/>
                <w:b/>
              </w:rPr>
            </w:pPr>
          </w:p>
        </w:tc>
      </w:tr>
      <w:tr w:rsidR="008A19CA" w:rsidRPr="004325E7" w:rsidTr="00E67C7A">
        <w:trPr>
          <w:trHeight w:val="544"/>
        </w:trPr>
        <w:tc>
          <w:tcPr>
            <w:tcW w:w="10144" w:type="dxa"/>
            <w:shd w:val="clear" w:color="auto" w:fill="D9D9D9" w:themeFill="background1" w:themeFillShade="D9"/>
          </w:tcPr>
          <w:p w:rsidR="008A19CA" w:rsidRPr="004325E7" w:rsidRDefault="008A19CA" w:rsidP="004325E7">
            <w:pPr>
              <w:jc w:val="both"/>
              <w:rPr>
                <w:b/>
                <w:color w:val="000000" w:themeColor="text1"/>
              </w:rPr>
            </w:pPr>
            <w:r w:rsidRPr="004325E7">
              <w:rPr>
                <w:b/>
                <w:color w:val="000000" w:themeColor="text1"/>
              </w:rPr>
              <w:t>2. W której linii budżetowej należy ująć wydatki związane z nadzorem inżynierskim/inwestorskim? Czy należy podpisać umowę z każdym inspektorem nadzoru i ustalić wysokość miesięcznego wynagrodzenia? Czy można wyłonić wykonawcę nadzoru inwestycyjnego np. w formie przetargu i zlecić nadzór zewnętrznemu wykonawcy?</w:t>
            </w:r>
          </w:p>
        </w:tc>
      </w:tr>
      <w:tr w:rsidR="008A19CA" w:rsidRPr="004325E7" w:rsidTr="00E67C7A">
        <w:trPr>
          <w:trHeight w:val="1890"/>
        </w:trPr>
        <w:tc>
          <w:tcPr>
            <w:tcW w:w="10144" w:type="dxa"/>
          </w:tcPr>
          <w:p w:rsidR="008A19CA" w:rsidRPr="004325E7" w:rsidRDefault="008A19CA" w:rsidP="004325E7">
            <w:pPr>
              <w:jc w:val="both"/>
              <w:rPr>
                <w:color w:val="000000" w:themeColor="text1"/>
              </w:rPr>
            </w:pPr>
            <w:r w:rsidRPr="004325E7">
              <w:rPr>
                <w:color w:val="000000" w:themeColor="text1"/>
              </w:rPr>
              <w:t xml:space="preserve">Nadzór inwestorski można zlecić firmie zewnętrznej. Zgodnie z zapisami komponentu infrastrukturalnego (p. 2.3.2  </w:t>
            </w:r>
            <w:r w:rsidRPr="004325E7">
              <w:rPr>
                <w:i/>
                <w:color w:val="000000" w:themeColor="text1"/>
              </w:rPr>
              <w:t xml:space="preserve">Charakter projektów </w:t>
            </w:r>
            <w:r w:rsidRPr="004325E7">
              <w:rPr>
                <w:color w:val="000000" w:themeColor="text1"/>
              </w:rPr>
              <w:t xml:space="preserve">Podręcznika Programu) komponent infrastrukturalny obejmuje m.in. koszty robót budowlanych i usług związanych z (od)budową, remontem, instalacją infrastruktury i </w:t>
            </w:r>
            <w:r w:rsidRPr="004325E7">
              <w:rPr>
                <w:b/>
                <w:bCs/>
                <w:color w:val="000000" w:themeColor="text1"/>
              </w:rPr>
              <w:t>nadzorem nad nimi</w:t>
            </w:r>
            <w:r w:rsidRPr="004325E7">
              <w:rPr>
                <w:color w:val="000000" w:themeColor="text1"/>
              </w:rPr>
              <w:t xml:space="preserve"> (…). Dlatego też  koszty związane z nadzorem inwestorskim należy ująć w linii budżetowej nr 6 Komponent infrastrukturalny. Postępowanie przetargowe związane z tymi wydatkami powinno zostać przeprowadzone zgodnie z odpowiednimi przepisami krajowymi.</w:t>
            </w:r>
          </w:p>
        </w:tc>
      </w:tr>
      <w:tr w:rsidR="008A19CA" w:rsidRPr="004325E7" w:rsidTr="00E67C7A">
        <w:trPr>
          <w:trHeight w:val="326"/>
        </w:trPr>
        <w:tc>
          <w:tcPr>
            <w:tcW w:w="10144" w:type="dxa"/>
            <w:shd w:val="clear" w:color="auto" w:fill="D9D9D9" w:themeFill="background1" w:themeFillShade="D9"/>
          </w:tcPr>
          <w:p w:rsidR="008A19CA" w:rsidRPr="004325E7" w:rsidRDefault="008A19CA" w:rsidP="004325E7">
            <w:pPr>
              <w:pStyle w:val="Zwykytekst"/>
              <w:jc w:val="both"/>
              <w:rPr>
                <w:rFonts w:asciiTheme="minorHAnsi" w:hAnsiTheme="minorHAnsi"/>
                <w:b/>
                <w:color w:val="000000" w:themeColor="text1"/>
                <w:sz w:val="22"/>
                <w:szCs w:val="22"/>
              </w:rPr>
            </w:pPr>
            <w:r w:rsidRPr="004325E7">
              <w:rPr>
                <w:rFonts w:asciiTheme="minorHAnsi" w:hAnsiTheme="minorHAnsi"/>
                <w:b/>
                <w:color w:val="000000" w:themeColor="text1"/>
                <w:sz w:val="22"/>
                <w:szCs w:val="22"/>
              </w:rPr>
              <w:t xml:space="preserve">3. Czy koszt transportu własnym samochodem podczas delegacji jest wydatkiem </w:t>
            </w:r>
            <w:proofErr w:type="spellStart"/>
            <w:r w:rsidRPr="004325E7">
              <w:rPr>
                <w:rFonts w:asciiTheme="minorHAnsi" w:hAnsiTheme="minorHAnsi"/>
                <w:b/>
                <w:color w:val="000000" w:themeColor="text1"/>
                <w:sz w:val="22"/>
                <w:szCs w:val="22"/>
              </w:rPr>
              <w:t>kwalifikowalnym</w:t>
            </w:r>
            <w:proofErr w:type="spellEnd"/>
            <w:r w:rsidRPr="004325E7">
              <w:rPr>
                <w:rFonts w:asciiTheme="minorHAnsi" w:hAnsiTheme="minorHAnsi"/>
                <w:b/>
                <w:color w:val="000000" w:themeColor="text1"/>
                <w:sz w:val="22"/>
                <w:szCs w:val="22"/>
              </w:rPr>
              <w:t xml:space="preserve"> w ramach projektu (rozliczenie </w:t>
            </w:r>
            <w:proofErr w:type="spellStart"/>
            <w:r w:rsidRPr="004325E7">
              <w:rPr>
                <w:rFonts w:asciiTheme="minorHAnsi" w:hAnsiTheme="minorHAnsi"/>
                <w:b/>
                <w:color w:val="000000" w:themeColor="text1"/>
                <w:sz w:val="22"/>
                <w:szCs w:val="22"/>
              </w:rPr>
              <w:t>kilometrówki</w:t>
            </w:r>
            <w:proofErr w:type="spellEnd"/>
            <w:r w:rsidRPr="004325E7">
              <w:rPr>
                <w:rFonts w:asciiTheme="minorHAnsi" w:hAnsiTheme="minorHAnsi"/>
                <w:b/>
                <w:color w:val="000000" w:themeColor="text1"/>
                <w:sz w:val="22"/>
                <w:szCs w:val="22"/>
              </w:rPr>
              <w:t>)?</w:t>
            </w:r>
          </w:p>
        </w:tc>
      </w:tr>
      <w:tr w:rsidR="008A19CA" w:rsidRPr="004325E7" w:rsidTr="00E67C7A">
        <w:trPr>
          <w:trHeight w:val="529"/>
        </w:trPr>
        <w:tc>
          <w:tcPr>
            <w:tcW w:w="10144" w:type="dxa"/>
          </w:tcPr>
          <w:p w:rsidR="008A19CA" w:rsidRPr="004325E7" w:rsidRDefault="008A19CA" w:rsidP="004325E7">
            <w:pPr>
              <w:pStyle w:val="Zwykytekst"/>
              <w:jc w:val="both"/>
              <w:rPr>
                <w:rFonts w:asciiTheme="minorHAnsi" w:hAnsiTheme="minorHAnsi"/>
                <w:color w:val="FF0000"/>
                <w:sz w:val="22"/>
                <w:szCs w:val="22"/>
              </w:rPr>
            </w:pPr>
            <w:r w:rsidRPr="004325E7">
              <w:rPr>
                <w:rFonts w:asciiTheme="minorHAnsi" w:hAnsiTheme="minorHAnsi"/>
                <w:color w:val="000000" w:themeColor="text1"/>
                <w:sz w:val="22"/>
                <w:szCs w:val="22"/>
              </w:rPr>
              <w:t xml:space="preserve">Istnieje możliwość korzystania z prywatnych samochodów w celach służbowych pod warunkiem, że jest to odpowiednio uzasadnione. Proszę jednak pamiętać o zapisach p. 6.5.2 </w:t>
            </w:r>
            <w:r w:rsidRPr="004325E7">
              <w:rPr>
                <w:rFonts w:asciiTheme="minorHAnsi" w:hAnsiTheme="minorHAnsi"/>
                <w:i/>
                <w:color w:val="000000" w:themeColor="text1"/>
                <w:sz w:val="22"/>
                <w:szCs w:val="22"/>
              </w:rPr>
              <w:t>Koszty podróży i diety</w:t>
            </w:r>
            <w:r w:rsidRPr="004325E7">
              <w:rPr>
                <w:rFonts w:asciiTheme="minorHAnsi" w:hAnsiTheme="minorHAnsi"/>
                <w:color w:val="000000" w:themeColor="text1"/>
                <w:sz w:val="22"/>
                <w:szCs w:val="22"/>
              </w:rPr>
              <w:t xml:space="preserve"> Podręcznika Programu, który stanowi, że w ramach linii budżetowej nr 2 można ujmować jedynie koszty związane z podróżami pracowników beneficjent</w:t>
            </w:r>
            <w:r w:rsidRPr="004325E7">
              <w:rPr>
                <w:rFonts w:asciiTheme="minorHAnsi" w:hAnsiTheme="minorHAnsi"/>
                <w:sz w:val="22"/>
                <w:szCs w:val="22"/>
              </w:rPr>
              <w:t>a.</w:t>
            </w:r>
            <w:r w:rsidRPr="004325E7">
              <w:rPr>
                <w:rFonts w:asciiTheme="minorHAnsi" w:hAnsiTheme="minorHAnsi"/>
                <w:color w:val="FF0000"/>
                <w:sz w:val="22"/>
                <w:szCs w:val="22"/>
              </w:rPr>
              <w:t xml:space="preserve"> </w:t>
            </w:r>
          </w:p>
          <w:p w:rsidR="008A19CA" w:rsidRPr="004325E7" w:rsidRDefault="008A19CA" w:rsidP="004325E7">
            <w:pPr>
              <w:pStyle w:val="Zwykytekst"/>
              <w:jc w:val="both"/>
              <w:rPr>
                <w:rFonts w:asciiTheme="minorHAnsi" w:hAnsiTheme="minorHAnsi" w:cs="Arial"/>
                <w:b/>
                <w:sz w:val="22"/>
                <w:szCs w:val="22"/>
              </w:rPr>
            </w:pPr>
          </w:p>
        </w:tc>
      </w:tr>
      <w:tr w:rsidR="008A19CA" w:rsidRPr="004325E7" w:rsidTr="00E67C7A">
        <w:trPr>
          <w:trHeight w:val="272"/>
        </w:trPr>
        <w:tc>
          <w:tcPr>
            <w:tcW w:w="10144" w:type="dxa"/>
            <w:shd w:val="clear" w:color="auto" w:fill="D9D9D9" w:themeFill="background1" w:themeFillShade="D9"/>
          </w:tcPr>
          <w:p w:rsidR="008A19CA" w:rsidRPr="004325E7" w:rsidRDefault="008A19CA" w:rsidP="004325E7">
            <w:pPr>
              <w:jc w:val="both"/>
              <w:rPr>
                <w:b/>
                <w:color w:val="000000" w:themeColor="text1"/>
              </w:rPr>
            </w:pPr>
            <w:r w:rsidRPr="004325E7">
              <w:rPr>
                <w:b/>
                <w:color w:val="000000" w:themeColor="text1"/>
              </w:rPr>
              <w:t xml:space="preserve">4. Projekt zakłada renowację kilku obiektów zabytkowych i ich adaptację do celów turystycznych. Ponadto partnerzy projektu chcieliby również rozbudować miejsca rekreacyjne w ich miastach. Czy rozwój tych terenów rekreacyjnych (o którym jest mowa we wskaźniku produktu: </w:t>
            </w:r>
            <w:proofErr w:type="spellStart"/>
            <w:r w:rsidRPr="004325E7">
              <w:rPr>
                <w:b/>
                <w:color w:val="000000" w:themeColor="text1"/>
              </w:rPr>
              <w:t>Number</w:t>
            </w:r>
            <w:proofErr w:type="spellEnd"/>
            <w:r w:rsidRPr="004325E7">
              <w:rPr>
                <w:b/>
                <w:color w:val="000000" w:themeColor="text1"/>
              </w:rPr>
              <w:t xml:space="preserve"> of </w:t>
            </w:r>
            <w:proofErr w:type="spellStart"/>
            <w:r w:rsidRPr="004325E7">
              <w:rPr>
                <w:b/>
                <w:color w:val="000000" w:themeColor="text1"/>
              </w:rPr>
              <w:t>new</w:t>
            </w:r>
            <w:proofErr w:type="spellEnd"/>
            <w:r w:rsidRPr="004325E7">
              <w:rPr>
                <w:b/>
                <w:color w:val="000000" w:themeColor="text1"/>
              </w:rPr>
              <w:t xml:space="preserve"> and/</w:t>
            </w:r>
            <w:proofErr w:type="spellStart"/>
            <w:r w:rsidRPr="004325E7">
              <w:rPr>
                <w:b/>
                <w:color w:val="000000" w:themeColor="text1"/>
              </w:rPr>
              <w:t>or</w:t>
            </w:r>
            <w:proofErr w:type="spellEnd"/>
            <w:r w:rsidRPr="004325E7">
              <w:rPr>
                <w:b/>
                <w:color w:val="000000" w:themeColor="text1"/>
              </w:rPr>
              <w:t xml:space="preserve"> </w:t>
            </w:r>
            <w:proofErr w:type="spellStart"/>
            <w:r w:rsidRPr="004325E7">
              <w:rPr>
                <w:b/>
                <w:color w:val="000000" w:themeColor="text1"/>
              </w:rPr>
              <w:t>conserved</w:t>
            </w:r>
            <w:proofErr w:type="spellEnd"/>
            <w:r w:rsidRPr="004325E7">
              <w:rPr>
                <w:b/>
                <w:color w:val="000000" w:themeColor="text1"/>
              </w:rPr>
              <w:t xml:space="preserve"> </w:t>
            </w:r>
            <w:proofErr w:type="spellStart"/>
            <w:r w:rsidRPr="004325E7">
              <w:rPr>
                <w:b/>
                <w:color w:val="000000" w:themeColor="text1"/>
              </w:rPr>
              <w:t>modernised</w:t>
            </w:r>
            <w:proofErr w:type="spellEnd"/>
            <w:r w:rsidRPr="004325E7">
              <w:rPr>
                <w:b/>
                <w:color w:val="000000" w:themeColor="text1"/>
              </w:rPr>
              <w:t>/</w:t>
            </w:r>
            <w:proofErr w:type="spellStart"/>
            <w:r w:rsidRPr="004325E7">
              <w:rPr>
                <w:b/>
                <w:color w:val="000000" w:themeColor="text1"/>
              </w:rPr>
              <w:t>adapted</w:t>
            </w:r>
            <w:proofErr w:type="spellEnd"/>
            <w:r w:rsidRPr="004325E7">
              <w:rPr>
                <w:b/>
                <w:color w:val="000000" w:themeColor="text1"/>
              </w:rPr>
              <w:t xml:space="preserve"> </w:t>
            </w:r>
            <w:proofErr w:type="spellStart"/>
            <w:r w:rsidRPr="004325E7">
              <w:rPr>
                <w:b/>
                <w:color w:val="000000" w:themeColor="text1"/>
              </w:rPr>
              <w:t>tourist</w:t>
            </w:r>
            <w:proofErr w:type="spellEnd"/>
            <w:r w:rsidRPr="004325E7">
              <w:rPr>
                <w:b/>
                <w:color w:val="000000" w:themeColor="text1"/>
              </w:rPr>
              <w:t xml:space="preserve"> </w:t>
            </w:r>
            <w:proofErr w:type="spellStart"/>
            <w:r w:rsidRPr="004325E7">
              <w:rPr>
                <w:b/>
                <w:color w:val="000000" w:themeColor="text1"/>
              </w:rPr>
              <w:t>infrastructure</w:t>
            </w:r>
            <w:proofErr w:type="spellEnd"/>
            <w:r w:rsidRPr="004325E7">
              <w:rPr>
                <w:b/>
                <w:color w:val="000000" w:themeColor="text1"/>
              </w:rPr>
              <w:t xml:space="preserve"> </w:t>
            </w:r>
            <w:proofErr w:type="spellStart"/>
            <w:r w:rsidRPr="004325E7">
              <w:rPr>
                <w:b/>
                <w:color w:val="000000" w:themeColor="text1"/>
              </w:rPr>
              <w:t>facilities</w:t>
            </w:r>
            <w:proofErr w:type="spellEnd"/>
            <w:r w:rsidRPr="004325E7">
              <w:rPr>
                <w:b/>
                <w:color w:val="000000" w:themeColor="text1"/>
              </w:rPr>
              <w:t xml:space="preserve"> </w:t>
            </w:r>
            <w:proofErr w:type="spellStart"/>
            <w:r w:rsidRPr="004325E7">
              <w:rPr>
                <w:b/>
                <w:color w:val="000000" w:themeColor="text1"/>
              </w:rPr>
              <w:t>increasing</w:t>
            </w:r>
            <w:proofErr w:type="spellEnd"/>
            <w:r w:rsidRPr="004325E7">
              <w:rPr>
                <w:b/>
                <w:color w:val="000000" w:themeColor="text1"/>
              </w:rPr>
              <w:t xml:space="preserve"> </w:t>
            </w:r>
            <w:proofErr w:type="spellStart"/>
            <w:r w:rsidRPr="004325E7">
              <w:rPr>
                <w:b/>
                <w:color w:val="000000" w:themeColor="text1"/>
              </w:rPr>
              <w:t>the</w:t>
            </w:r>
            <w:proofErr w:type="spellEnd"/>
            <w:r w:rsidRPr="004325E7">
              <w:rPr>
                <w:b/>
                <w:color w:val="000000" w:themeColor="text1"/>
              </w:rPr>
              <w:t xml:space="preserve"> </w:t>
            </w:r>
            <w:proofErr w:type="spellStart"/>
            <w:r w:rsidRPr="004325E7">
              <w:rPr>
                <w:b/>
                <w:color w:val="000000" w:themeColor="text1"/>
              </w:rPr>
              <w:t>preservation</w:t>
            </w:r>
            <w:proofErr w:type="spellEnd"/>
            <w:r w:rsidRPr="004325E7">
              <w:rPr>
                <w:b/>
                <w:color w:val="000000" w:themeColor="text1"/>
              </w:rPr>
              <w:t>…) musi być bezpośrednio związany z dziedzictwem</w:t>
            </w:r>
            <w:r w:rsidRPr="004325E7">
              <w:rPr>
                <w:b/>
                <w:color w:val="FF0000"/>
              </w:rPr>
              <w:t xml:space="preserve"> </w:t>
            </w:r>
            <w:r w:rsidRPr="004325E7">
              <w:rPr>
                <w:b/>
                <w:color w:val="000000" w:themeColor="text1"/>
              </w:rPr>
              <w:t>historycznym/kulturowym/przyrodniczym? Czy jest możliwe wykonanie np. jakiejś infrastruktury sportowej, która przylegałaby do terenów historycznych?</w:t>
            </w:r>
          </w:p>
        </w:tc>
      </w:tr>
      <w:tr w:rsidR="008A19CA" w:rsidRPr="004325E7" w:rsidTr="00E67C7A">
        <w:trPr>
          <w:trHeight w:val="801"/>
        </w:trPr>
        <w:tc>
          <w:tcPr>
            <w:tcW w:w="10144" w:type="dxa"/>
          </w:tcPr>
          <w:p w:rsidR="008A19CA" w:rsidRPr="004325E7" w:rsidRDefault="008A19CA" w:rsidP="004325E7">
            <w:pPr>
              <w:jc w:val="both"/>
              <w:rPr>
                <w:color w:val="000000" w:themeColor="text1"/>
              </w:rPr>
            </w:pPr>
            <w:r w:rsidRPr="004325E7">
              <w:rPr>
                <w:color w:val="000000" w:themeColor="text1"/>
              </w:rPr>
              <w:lastRenderedPageBreak/>
              <w:t xml:space="preserve">Podczas opracowywania propozycji projektowej zalecamy beneficjentom zapoznanie się z opisem Celów Tematycznych oraz listą indykatywnych działań ujętych w p. 1.3 </w:t>
            </w:r>
            <w:r w:rsidRPr="004325E7">
              <w:rPr>
                <w:i/>
                <w:color w:val="000000" w:themeColor="text1"/>
              </w:rPr>
              <w:t xml:space="preserve">Cele Tematyczne i Priorytety </w:t>
            </w:r>
            <w:r w:rsidRPr="004325E7">
              <w:rPr>
                <w:color w:val="000000" w:themeColor="text1"/>
              </w:rPr>
              <w:t xml:space="preserve">w Podręczniku Programu. Należy również pamiętać, że projekt i działania w nim realizowane muszą być spójne. Dlatego ważne jest aby skupić się na powiązaniu działań, które będą realizowane w ramach projektu, a nie na położeniu fizycznym obiektów. </w:t>
            </w:r>
          </w:p>
          <w:p w:rsidR="008A19CA" w:rsidRPr="004325E7" w:rsidRDefault="008A19CA" w:rsidP="004325E7">
            <w:pPr>
              <w:jc w:val="both"/>
              <w:rPr>
                <w:color w:val="000000" w:themeColor="text1"/>
              </w:rPr>
            </w:pPr>
          </w:p>
        </w:tc>
      </w:tr>
      <w:tr w:rsidR="008A19CA" w:rsidRPr="004325E7" w:rsidTr="00E67C7A">
        <w:trPr>
          <w:trHeight w:val="386"/>
        </w:trPr>
        <w:tc>
          <w:tcPr>
            <w:tcW w:w="10144" w:type="dxa"/>
            <w:shd w:val="clear" w:color="auto" w:fill="D9D9D9" w:themeFill="background1" w:themeFillShade="D9"/>
          </w:tcPr>
          <w:p w:rsidR="008A19CA" w:rsidRPr="004325E7" w:rsidRDefault="008A19CA" w:rsidP="004325E7">
            <w:pPr>
              <w:pStyle w:val="Zwykytekst"/>
              <w:jc w:val="both"/>
              <w:rPr>
                <w:rFonts w:asciiTheme="minorHAnsi" w:hAnsiTheme="minorHAnsi"/>
                <w:b/>
                <w:color w:val="000000" w:themeColor="text1"/>
                <w:sz w:val="22"/>
                <w:szCs w:val="22"/>
              </w:rPr>
            </w:pPr>
            <w:r w:rsidRPr="004325E7">
              <w:rPr>
                <w:rFonts w:asciiTheme="minorHAnsi" w:hAnsiTheme="minorHAnsi"/>
                <w:b/>
                <w:color w:val="000000" w:themeColor="text1"/>
                <w:sz w:val="22"/>
                <w:szCs w:val="22"/>
              </w:rPr>
              <w:t xml:space="preserve">5. Jakiego kursu wymiany walut należy używać przy wypełnianiu budżetu projektu? Czy należy stosować ustalony kurs wymiany ustalony przez beneficjentów podczas planowania wydatków (w większości przypadków budżety projektów będą planowane najpierw w walutach krajowych, a następnie będą przygotowywane w </w:t>
            </w:r>
            <w:proofErr w:type="spellStart"/>
            <w:r w:rsidRPr="004325E7">
              <w:rPr>
                <w:rFonts w:asciiTheme="minorHAnsi" w:hAnsiTheme="minorHAnsi"/>
                <w:b/>
                <w:color w:val="000000" w:themeColor="text1"/>
                <w:sz w:val="22"/>
                <w:szCs w:val="22"/>
              </w:rPr>
              <w:t>euro</w:t>
            </w:r>
            <w:proofErr w:type="spellEnd"/>
            <w:r w:rsidRPr="004325E7">
              <w:rPr>
                <w:rFonts w:asciiTheme="minorHAnsi" w:hAnsiTheme="minorHAnsi"/>
                <w:b/>
                <w:color w:val="000000" w:themeColor="text1"/>
                <w:sz w:val="22"/>
                <w:szCs w:val="22"/>
              </w:rPr>
              <w:t>) ?</w:t>
            </w:r>
          </w:p>
        </w:tc>
      </w:tr>
      <w:tr w:rsidR="008A19CA" w:rsidRPr="004325E7" w:rsidTr="00E67C7A">
        <w:trPr>
          <w:trHeight w:val="544"/>
        </w:trPr>
        <w:tc>
          <w:tcPr>
            <w:tcW w:w="10144" w:type="dxa"/>
          </w:tcPr>
          <w:p w:rsidR="008A19CA" w:rsidRPr="004325E7" w:rsidRDefault="008A19CA" w:rsidP="004325E7">
            <w:pPr>
              <w:pStyle w:val="Zwykytekst"/>
              <w:jc w:val="both"/>
              <w:rPr>
                <w:rFonts w:asciiTheme="minorHAnsi" w:hAnsiTheme="minorHAnsi"/>
                <w:color w:val="000000" w:themeColor="text1"/>
                <w:sz w:val="22"/>
                <w:szCs w:val="22"/>
              </w:rPr>
            </w:pPr>
            <w:r w:rsidRPr="004325E7">
              <w:rPr>
                <w:rFonts w:asciiTheme="minorHAnsi" w:hAnsiTheme="minorHAnsi"/>
                <w:color w:val="000000" w:themeColor="text1"/>
                <w:sz w:val="22"/>
                <w:szCs w:val="22"/>
              </w:rPr>
              <w:t xml:space="preserve">Mając na uwadze fakt, że to beneficjenci ponoszą ryzyko kursowe, a różnice kursowe są kosztem niekwalifikowanym, ważne jest, żeby oszacować kurs EUR/PLN RUB/EUR w możliwie bezpieczny ale jednocześnie realistyczny sposób. Dlatego beneficjenci sami mogą wybrać odpowiedni kurs wymiany walut. Można stosować kursy wymiany walut, które są publikowane na stronie </w:t>
            </w:r>
            <w:proofErr w:type="spellStart"/>
            <w:r w:rsidRPr="004325E7">
              <w:rPr>
                <w:rFonts w:asciiTheme="minorHAnsi" w:hAnsiTheme="minorHAnsi"/>
                <w:color w:val="000000" w:themeColor="text1"/>
                <w:sz w:val="22"/>
                <w:szCs w:val="22"/>
              </w:rPr>
              <w:t>Inforeuro</w:t>
            </w:r>
            <w:proofErr w:type="spellEnd"/>
            <w:r w:rsidRPr="004325E7">
              <w:rPr>
                <w:rFonts w:asciiTheme="minorHAnsi" w:hAnsiTheme="minorHAnsi"/>
                <w:color w:val="000000" w:themeColor="text1"/>
                <w:sz w:val="22"/>
                <w:szCs w:val="22"/>
              </w:rPr>
              <w:t>, jednak nie jest to obligatoryjne.</w:t>
            </w:r>
          </w:p>
          <w:p w:rsidR="008A19CA" w:rsidRPr="004325E7" w:rsidRDefault="008A19CA" w:rsidP="004325E7">
            <w:pPr>
              <w:pStyle w:val="Zwykytekst"/>
              <w:jc w:val="both"/>
              <w:rPr>
                <w:rFonts w:asciiTheme="minorHAnsi" w:eastAsia="Calibri" w:hAnsiTheme="minorHAnsi" w:cs="Arial"/>
                <w:sz w:val="22"/>
                <w:szCs w:val="22"/>
              </w:rPr>
            </w:pPr>
          </w:p>
        </w:tc>
      </w:tr>
      <w:tr w:rsidR="008A19CA" w:rsidRPr="004325E7" w:rsidTr="00E67C7A">
        <w:trPr>
          <w:trHeight w:val="272"/>
        </w:trPr>
        <w:tc>
          <w:tcPr>
            <w:tcW w:w="10144" w:type="dxa"/>
            <w:shd w:val="clear" w:color="auto" w:fill="D9D9D9" w:themeFill="background1" w:themeFillShade="D9"/>
          </w:tcPr>
          <w:p w:rsidR="008A19CA" w:rsidRPr="004325E7" w:rsidRDefault="008A19CA" w:rsidP="004325E7">
            <w:pPr>
              <w:tabs>
                <w:tab w:val="left" w:pos="7727"/>
              </w:tabs>
              <w:jc w:val="both"/>
              <w:rPr>
                <w:b/>
                <w:bCs/>
                <w:color w:val="000000" w:themeColor="text1"/>
              </w:rPr>
            </w:pPr>
            <w:r w:rsidRPr="004325E7">
              <w:rPr>
                <w:b/>
                <w:bCs/>
                <w:color w:val="000000" w:themeColor="text1"/>
              </w:rPr>
              <w:t>6. Czy w ramach projektu możliwe jest opracowanie dokumentów (np. prac badawczych), które będą dotyczyć obszaru nieobjętego Programem ?</w:t>
            </w:r>
          </w:p>
        </w:tc>
      </w:tr>
      <w:tr w:rsidR="008A19CA" w:rsidRPr="004325E7" w:rsidTr="00E67C7A">
        <w:trPr>
          <w:trHeight w:val="257"/>
        </w:trPr>
        <w:tc>
          <w:tcPr>
            <w:tcW w:w="10144" w:type="dxa"/>
          </w:tcPr>
          <w:p w:rsidR="008A19CA" w:rsidRPr="004325E7" w:rsidRDefault="008A19CA" w:rsidP="004325E7">
            <w:pPr>
              <w:pStyle w:val="Default"/>
              <w:jc w:val="both"/>
              <w:rPr>
                <w:rFonts w:asciiTheme="minorHAnsi" w:hAnsiTheme="minorHAnsi"/>
                <w:color w:val="000000" w:themeColor="text1"/>
                <w:sz w:val="22"/>
                <w:szCs w:val="22"/>
              </w:rPr>
            </w:pPr>
            <w:r w:rsidRPr="004325E7">
              <w:rPr>
                <w:rFonts w:asciiTheme="minorHAnsi" w:hAnsiTheme="minorHAnsi"/>
                <w:color w:val="000000" w:themeColor="text1"/>
                <w:sz w:val="22"/>
                <w:szCs w:val="22"/>
              </w:rPr>
              <w:t>Co do zasady, projekty powinny być wdrażane w obszarze Programu. Jednakże w wyjątkowych przypadkach projekty mogą być częściowo wdrażane poza obszarem objętym Programem, o ile spełnione są wszystkie następujące warunki:</w:t>
            </w:r>
          </w:p>
          <w:p w:rsidR="008A19CA" w:rsidRPr="004325E7" w:rsidRDefault="008A19CA" w:rsidP="004325E7">
            <w:pPr>
              <w:pStyle w:val="Akapitzlist"/>
              <w:numPr>
                <w:ilvl w:val="0"/>
                <w:numId w:val="6"/>
              </w:numPr>
              <w:contextualSpacing w:val="0"/>
              <w:jc w:val="both"/>
              <w:rPr>
                <w:color w:val="000000" w:themeColor="text1"/>
              </w:rPr>
            </w:pPr>
            <w:r w:rsidRPr="004325E7">
              <w:rPr>
                <w:color w:val="000000" w:themeColor="text1"/>
              </w:rPr>
              <w:t>takie projekty są niezbędne dla osiągnięcia celów Programu i przynoszą korzyści obszarowi Programu;</w:t>
            </w:r>
          </w:p>
          <w:p w:rsidR="008A19CA" w:rsidRPr="004325E7" w:rsidRDefault="008A19CA" w:rsidP="004325E7">
            <w:pPr>
              <w:pStyle w:val="Akapitzlist"/>
              <w:numPr>
                <w:ilvl w:val="0"/>
                <w:numId w:val="6"/>
              </w:numPr>
              <w:contextualSpacing w:val="0"/>
              <w:jc w:val="both"/>
              <w:rPr>
                <w:color w:val="000000" w:themeColor="text1"/>
              </w:rPr>
            </w:pPr>
            <w:r w:rsidRPr="004325E7">
              <w:rPr>
                <w:color w:val="000000" w:themeColor="text1"/>
              </w:rPr>
              <w:t>łączna kwota alokowana w ramach Programu na działania poza obszarem Programu nie przekracza 10% wkładu Unii na poziomie Programu;</w:t>
            </w:r>
          </w:p>
          <w:p w:rsidR="008A19CA" w:rsidRPr="004325E7" w:rsidRDefault="008A19CA" w:rsidP="004325E7">
            <w:pPr>
              <w:pStyle w:val="Akapitzlist"/>
              <w:numPr>
                <w:ilvl w:val="0"/>
                <w:numId w:val="6"/>
              </w:numPr>
              <w:contextualSpacing w:val="0"/>
              <w:jc w:val="both"/>
              <w:rPr>
                <w:color w:val="000000" w:themeColor="text1"/>
              </w:rPr>
            </w:pPr>
            <w:r w:rsidRPr="004325E7">
              <w:rPr>
                <w:color w:val="000000" w:themeColor="text1"/>
              </w:rPr>
              <w:t>działania poza obszarem Programu nie mogą mieć charakteru inwestycyjnego i/lub infrastrukturalnego.</w:t>
            </w:r>
          </w:p>
          <w:p w:rsidR="008A19CA" w:rsidRPr="004325E7" w:rsidRDefault="008A19CA" w:rsidP="004325E7">
            <w:pPr>
              <w:pStyle w:val="Zwykytekst"/>
              <w:ind w:left="720"/>
              <w:jc w:val="both"/>
              <w:rPr>
                <w:rFonts w:asciiTheme="minorHAnsi" w:hAnsiTheme="minorHAnsi" w:cs="Arial"/>
                <w:sz w:val="22"/>
                <w:szCs w:val="22"/>
              </w:rPr>
            </w:pPr>
          </w:p>
        </w:tc>
      </w:tr>
      <w:tr w:rsidR="008A19CA" w:rsidRPr="004325E7" w:rsidTr="00E67C7A">
        <w:trPr>
          <w:trHeight w:val="272"/>
        </w:trPr>
        <w:tc>
          <w:tcPr>
            <w:tcW w:w="10144" w:type="dxa"/>
            <w:shd w:val="clear" w:color="auto" w:fill="D9D9D9" w:themeFill="background1" w:themeFillShade="D9"/>
          </w:tcPr>
          <w:p w:rsidR="008A19CA" w:rsidRPr="004325E7" w:rsidRDefault="008A19CA" w:rsidP="004325E7">
            <w:pPr>
              <w:jc w:val="both"/>
              <w:rPr>
                <w:b/>
                <w:bCs/>
                <w:color w:val="000000" w:themeColor="text1"/>
              </w:rPr>
            </w:pPr>
            <w:r w:rsidRPr="004325E7">
              <w:rPr>
                <w:b/>
                <w:bCs/>
                <w:color w:val="000000" w:themeColor="text1"/>
              </w:rPr>
              <w:t>7. Czy instytucja spoza obszaru wsparcia Programu może wziąć udział w projekcie?</w:t>
            </w:r>
          </w:p>
        </w:tc>
      </w:tr>
      <w:tr w:rsidR="008A19CA" w:rsidRPr="004325E7" w:rsidTr="00E67C7A">
        <w:trPr>
          <w:trHeight w:val="272"/>
        </w:trPr>
        <w:tc>
          <w:tcPr>
            <w:tcW w:w="10144" w:type="dxa"/>
          </w:tcPr>
          <w:p w:rsidR="004325E7" w:rsidRPr="004325E7" w:rsidRDefault="004325E7" w:rsidP="004325E7">
            <w:pPr>
              <w:jc w:val="both"/>
              <w:rPr>
                <w:color w:val="000000" w:themeColor="text1"/>
              </w:rPr>
            </w:pPr>
            <w:r w:rsidRPr="004325E7">
              <w:rPr>
                <w:color w:val="000000" w:themeColor="text1"/>
              </w:rPr>
              <w:t xml:space="preserve">Jest taka możliwość, natomiast obwarowana jest ona pewnymi warunkami. Oprócz spełnienia wymagań ogólnych dotyczących </w:t>
            </w:r>
            <w:proofErr w:type="spellStart"/>
            <w:r w:rsidRPr="004325E7">
              <w:rPr>
                <w:color w:val="000000" w:themeColor="text1"/>
              </w:rPr>
              <w:t>kwalifikowalności</w:t>
            </w:r>
            <w:proofErr w:type="spellEnd"/>
            <w:r w:rsidRPr="004325E7">
              <w:rPr>
                <w:color w:val="000000" w:themeColor="text1"/>
              </w:rPr>
              <w:t xml:space="preserve"> partnerów, muszą zostać spełnione następujące warunki:</w:t>
            </w:r>
          </w:p>
          <w:p w:rsidR="004325E7" w:rsidRPr="004325E7" w:rsidRDefault="004325E7" w:rsidP="004325E7">
            <w:pPr>
              <w:pStyle w:val="Default"/>
              <w:numPr>
                <w:ilvl w:val="0"/>
                <w:numId w:val="7"/>
              </w:numPr>
              <w:jc w:val="both"/>
              <w:rPr>
                <w:rFonts w:asciiTheme="minorHAnsi" w:hAnsiTheme="minorHAnsi"/>
                <w:color w:val="000000" w:themeColor="text1"/>
                <w:sz w:val="22"/>
                <w:szCs w:val="22"/>
              </w:rPr>
            </w:pPr>
            <w:r w:rsidRPr="004325E7">
              <w:rPr>
                <w:rFonts w:asciiTheme="minorHAnsi" w:hAnsiTheme="minorHAnsi"/>
                <w:color w:val="000000" w:themeColor="text1"/>
                <w:sz w:val="22"/>
                <w:szCs w:val="22"/>
              </w:rPr>
              <w:t>są to podmioty utworzone w Polsce lub w Rosji;</w:t>
            </w:r>
          </w:p>
          <w:p w:rsidR="004325E7" w:rsidRPr="004325E7" w:rsidRDefault="004325E7" w:rsidP="004325E7">
            <w:pPr>
              <w:pStyle w:val="Akapitzlist"/>
              <w:numPr>
                <w:ilvl w:val="0"/>
                <w:numId w:val="7"/>
              </w:numPr>
              <w:contextualSpacing w:val="0"/>
              <w:jc w:val="both"/>
              <w:rPr>
                <w:color w:val="000000" w:themeColor="text1"/>
              </w:rPr>
            </w:pPr>
            <w:r w:rsidRPr="004325E7">
              <w:rPr>
                <w:color w:val="000000" w:themeColor="text1"/>
              </w:rPr>
              <w:t>ich uczestnictwo jest uzasadnione rodzajem lub charakterem projektu i konieczne w celu jego skutecznego wdrożenia;</w:t>
            </w:r>
          </w:p>
          <w:p w:rsidR="004325E7" w:rsidRPr="004325E7" w:rsidRDefault="004325E7" w:rsidP="004325E7">
            <w:pPr>
              <w:pStyle w:val="Akapitzlist"/>
              <w:numPr>
                <w:ilvl w:val="0"/>
                <w:numId w:val="7"/>
              </w:numPr>
              <w:contextualSpacing w:val="0"/>
              <w:jc w:val="both"/>
              <w:rPr>
                <w:color w:val="000000" w:themeColor="text1"/>
              </w:rPr>
            </w:pPr>
            <w:r w:rsidRPr="004325E7">
              <w:rPr>
                <w:color w:val="000000" w:themeColor="text1"/>
              </w:rPr>
              <w:t xml:space="preserve">całkowita kwota alokowana w ramach projektu tego rodzaju beneficjentom nie przekroczy 20% całkowitych kosztów </w:t>
            </w:r>
            <w:proofErr w:type="spellStart"/>
            <w:r w:rsidRPr="004325E7">
              <w:rPr>
                <w:color w:val="000000" w:themeColor="text1"/>
              </w:rPr>
              <w:t>kwalifikowalnych</w:t>
            </w:r>
            <w:proofErr w:type="spellEnd"/>
            <w:r w:rsidRPr="004325E7">
              <w:rPr>
                <w:color w:val="000000" w:themeColor="text1"/>
              </w:rPr>
              <w:t>.</w:t>
            </w:r>
          </w:p>
          <w:p w:rsidR="008A19CA" w:rsidRPr="004325E7" w:rsidRDefault="008A19CA" w:rsidP="004325E7">
            <w:pPr>
              <w:pStyle w:val="Akapitzlist"/>
              <w:jc w:val="both"/>
              <w:rPr>
                <w:rFonts w:cs="Arial"/>
              </w:rPr>
            </w:pPr>
          </w:p>
        </w:tc>
      </w:tr>
      <w:tr w:rsidR="008A19CA" w:rsidRPr="004325E7" w:rsidTr="00E67C7A">
        <w:trPr>
          <w:trHeight w:val="328"/>
        </w:trPr>
        <w:tc>
          <w:tcPr>
            <w:tcW w:w="10144" w:type="dxa"/>
            <w:shd w:val="clear" w:color="auto" w:fill="D9D9D9" w:themeFill="background1" w:themeFillShade="D9"/>
          </w:tcPr>
          <w:p w:rsidR="008A19CA" w:rsidRPr="004325E7" w:rsidRDefault="004325E7" w:rsidP="004325E7">
            <w:pPr>
              <w:jc w:val="both"/>
              <w:rPr>
                <w:b/>
                <w:bCs/>
                <w:color w:val="000000" w:themeColor="text1"/>
              </w:rPr>
            </w:pPr>
            <w:r w:rsidRPr="004325E7">
              <w:rPr>
                <w:b/>
                <w:bCs/>
                <w:color w:val="000000" w:themeColor="text1"/>
              </w:rPr>
              <w:t>8. Czy możliwe jest uwzględnienie środków uzyskanych np. na podstawie porozumień zawartych pomiędzy gminami, jako wkładu własnego partnera?</w:t>
            </w:r>
          </w:p>
        </w:tc>
      </w:tr>
      <w:tr w:rsidR="008A19CA" w:rsidRPr="004325E7" w:rsidTr="00E67C7A">
        <w:trPr>
          <w:trHeight w:val="257"/>
        </w:trPr>
        <w:tc>
          <w:tcPr>
            <w:tcW w:w="10144" w:type="dxa"/>
          </w:tcPr>
          <w:p w:rsidR="004325E7" w:rsidRPr="004325E7" w:rsidRDefault="004325E7" w:rsidP="004325E7">
            <w:pPr>
              <w:jc w:val="both"/>
              <w:rPr>
                <w:color w:val="000000" w:themeColor="text1"/>
              </w:rPr>
            </w:pPr>
            <w:r w:rsidRPr="004325E7">
              <w:rPr>
                <w:color w:val="000000" w:themeColor="text1"/>
              </w:rPr>
              <w:t xml:space="preserve">Podczas składania formularza aplikacyjnego nie jest wymagane załączenie wewnętrznych dokumentów pokazujących montaż finansowy wkładu własnego. W formularzu aplikacyjnym w części 9.4/10.4 </w:t>
            </w:r>
            <w:r w:rsidRPr="004325E7">
              <w:rPr>
                <w:i/>
                <w:color w:val="000000" w:themeColor="text1"/>
              </w:rPr>
              <w:t>Źródła finansowania</w:t>
            </w:r>
            <w:r w:rsidRPr="004325E7">
              <w:rPr>
                <w:color w:val="000000" w:themeColor="text1"/>
              </w:rPr>
              <w:t xml:space="preserve"> należy opisać w jaki sposób zabezpieczone zostały środki na wkład własny, ale sposób zabezpieczenia tych środków jest indywidualną sprawą każdego partnera. </w:t>
            </w:r>
          </w:p>
          <w:p w:rsidR="008A19CA" w:rsidRPr="004325E7" w:rsidRDefault="008A19CA" w:rsidP="004325E7">
            <w:pPr>
              <w:jc w:val="both"/>
              <w:rPr>
                <w:rFonts w:cs="Arial"/>
              </w:rPr>
            </w:pPr>
          </w:p>
        </w:tc>
      </w:tr>
    </w:tbl>
    <w:p w:rsidR="008A19CA" w:rsidRPr="004325E7" w:rsidRDefault="008A19CA" w:rsidP="004325E7">
      <w:pPr>
        <w:jc w:val="both"/>
        <w:rPr>
          <w:b/>
        </w:rPr>
      </w:pPr>
    </w:p>
    <w:p w:rsidR="00B96562" w:rsidRPr="004325E7" w:rsidRDefault="00B96562" w:rsidP="004325E7">
      <w:pPr>
        <w:jc w:val="both"/>
      </w:pPr>
    </w:p>
    <w:sectPr w:rsidR="00B96562" w:rsidRPr="004325E7" w:rsidSect="00A404A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42F" w:rsidRDefault="003B742F" w:rsidP="008A19CA">
      <w:pPr>
        <w:spacing w:after="0" w:line="240" w:lineRule="auto"/>
      </w:pPr>
      <w:r>
        <w:separator/>
      </w:r>
    </w:p>
  </w:endnote>
  <w:endnote w:type="continuationSeparator" w:id="0">
    <w:p w:rsidR="003B742F" w:rsidRDefault="003B742F" w:rsidP="008A1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695860"/>
      <w:docPartObj>
        <w:docPartGallery w:val="Page Numbers (Bottom of Page)"/>
        <w:docPartUnique/>
      </w:docPartObj>
    </w:sdtPr>
    <w:sdtEndPr/>
    <w:sdtContent>
      <w:p w:rsidR="00303A58" w:rsidRDefault="003B742F">
        <w:pPr>
          <w:pStyle w:val="Stopka"/>
          <w:jc w:val="right"/>
        </w:pPr>
        <w:r>
          <w:fldChar w:fldCharType="begin"/>
        </w:r>
        <w:r>
          <w:instrText xml:space="preserve"> PAGE   \* MERGEFORMAT </w:instrText>
        </w:r>
        <w:r>
          <w:fldChar w:fldCharType="separate"/>
        </w:r>
        <w:r w:rsidR="004325E7">
          <w:rPr>
            <w:noProof/>
          </w:rPr>
          <w:t>1</w:t>
        </w:r>
        <w:r>
          <w:fldChar w:fldCharType="end"/>
        </w:r>
      </w:p>
    </w:sdtContent>
  </w:sdt>
  <w:p w:rsidR="00303A58" w:rsidRDefault="003B74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42F" w:rsidRDefault="003B742F" w:rsidP="008A19CA">
      <w:pPr>
        <w:spacing w:after="0" w:line="240" w:lineRule="auto"/>
      </w:pPr>
      <w:r>
        <w:separator/>
      </w:r>
    </w:p>
  </w:footnote>
  <w:footnote w:type="continuationSeparator" w:id="0">
    <w:p w:rsidR="003B742F" w:rsidRDefault="003B742F" w:rsidP="008A19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A58" w:rsidRDefault="003B742F" w:rsidP="00A404A7">
    <w:pPr>
      <w:rPr>
        <w:b/>
        <w:color w:val="548DD4" w:themeColor="text2" w:themeTint="99"/>
        <w:sz w:val="28"/>
        <w:szCs w:val="28"/>
      </w:rPr>
    </w:pPr>
    <w:r w:rsidRPr="000164E8">
      <w:rPr>
        <w:noProof/>
        <w:lang w:eastAsia="pl-PL"/>
      </w:rPr>
      <w:drawing>
        <wp:inline distT="0" distB="0" distL="0" distR="0">
          <wp:extent cx="2714625" cy="689283"/>
          <wp:effectExtent l="19050" t="0" r="9525" b="0"/>
          <wp:docPr id="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4625" cy="689283"/>
                  </a:xfrm>
                  <a:prstGeom prst="rect">
                    <a:avLst/>
                  </a:prstGeom>
                  <a:noFill/>
                  <a:ln>
                    <a:noFill/>
                  </a:ln>
                </pic:spPr>
              </pic:pic>
            </a:graphicData>
          </a:graphic>
        </wp:inline>
      </w:drawing>
    </w:r>
    <w:r>
      <w:t xml:space="preserve">     </w:t>
    </w:r>
    <w:r w:rsidRPr="00335AEE">
      <w:rPr>
        <w:b/>
        <w:sz w:val="28"/>
        <w:szCs w:val="28"/>
      </w:rPr>
      <w:t xml:space="preserve">QUESTIONS &amp; ANSWERS </w:t>
    </w:r>
    <w:r>
      <w:rPr>
        <w:b/>
        <w:color w:val="548DD4" w:themeColor="text2" w:themeTint="99"/>
        <w:sz w:val="28"/>
        <w:szCs w:val="28"/>
      </w:rPr>
      <w:t>29</w:t>
    </w:r>
    <w:r w:rsidRPr="00335AEE">
      <w:rPr>
        <w:b/>
        <w:color w:val="548DD4" w:themeColor="text2" w:themeTint="99"/>
        <w:sz w:val="28"/>
        <w:szCs w:val="28"/>
      </w:rPr>
      <w:t xml:space="preserve"> </w:t>
    </w:r>
    <w:proofErr w:type="spellStart"/>
    <w:r>
      <w:rPr>
        <w:b/>
        <w:color w:val="548DD4" w:themeColor="text2" w:themeTint="99"/>
        <w:sz w:val="28"/>
        <w:szCs w:val="28"/>
      </w:rPr>
      <w:t>November</w:t>
    </w:r>
    <w:proofErr w:type="spellEnd"/>
    <w:r w:rsidRPr="00335AEE">
      <w:rPr>
        <w:b/>
        <w:color w:val="548DD4" w:themeColor="text2" w:themeTint="99"/>
        <w:sz w:val="28"/>
        <w:szCs w:val="28"/>
      </w:rPr>
      <w:t xml:space="preserve"> 2017</w:t>
    </w:r>
  </w:p>
  <w:p w:rsidR="00303A58" w:rsidRPr="00A404A7" w:rsidRDefault="003B742F" w:rsidP="00A404A7">
    <w:pPr>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5E00"/>
    <w:multiLevelType w:val="hybridMultilevel"/>
    <w:tmpl w:val="63A2B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9C4E68"/>
    <w:multiLevelType w:val="hybridMultilevel"/>
    <w:tmpl w:val="0EC28D94"/>
    <w:lvl w:ilvl="0" w:tplc="D72C6B5C">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F81001B"/>
    <w:multiLevelType w:val="hybridMultilevel"/>
    <w:tmpl w:val="799489D2"/>
    <w:lvl w:ilvl="0" w:tplc="D72C6B5C">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2CE15DBF"/>
    <w:multiLevelType w:val="hybridMultilevel"/>
    <w:tmpl w:val="CDBC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9A40F19"/>
    <w:multiLevelType w:val="hybridMultilevel"/>
    <w:tmpl w:val="46DE25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1750070"/>
    <w:multiLevelType w:val="hybridMultilevel"/>
    <w:tmpl w:val="2C7CD572"/>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6">
    <w:nsid w:val="69122F94"/>
    <w:multiLevelType w:val="hybridMultilevel"/>
    <w:tmpl w:val="504AAD5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4"/>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A19CA"/>
    <w:rsid w:val="003B742F"/>
    <w:rsid w:val="004325E7"/>
    <w:rsid w:val="008A19CA"/>
    <w:rsid w:val="00B965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19C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A19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19CA"/>
  </w:style>
  <w:style w:type="table" w:styleId="Tabela-Siatka">
    <w:name w:val="Table Grid"/>
    <w:basedOn w:val="Standardowy"/>
    <w:uiPriority w:val="59"/>
    <w:rsid w:val="008A1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A19CA"/>
    <w:pPr>
      <w:ind w:left="720"/>
      <w:contextualSpacing/>
    </w:pPr>
  </w:style>
  <w:style w:type="paragraph" w:styleId="Zwykytekst">
    <w:name w:val="Plain Text"/>
    <w:basedOn w:val="Normalny"/>
    <w:link w:val="ZwykytekstZnak"/>
    <w:uiPriority w:val="99"/>
    <w:unhideWhenUsed/>
    <w:rsid w:val="008A19CA"/>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8A19CA"/>
    <w:rPr>
      <w:rFonts w:ascii="Consolas" w:hAnsi="Consolas" w:cs="Consolas"/>
      <w:sz w:val="21"/>
      <w:szCs w:val="21"/>
    </w:rPr>
  </w:style>
  <w:style w:type="paragraph" w:styleId="Tekstdymka">
    <w:name w:val="Balloon Text"/>
    <w:basedOn w:val="Normalny"/>
    <w:link w:val="TekstdymkaZnak"/>
    <w:uiPriority w:val="99"/>
    <w:semiHidden/>
    <w:unhideWhenUsed/>
    <w:rsid w:val="008A19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19CA"/>
    <w:rPr>
      <w:rFonts w:ascii="Tahoma" w:hAnsi="Tahoma" w:cs="Tahoma"/>
      <w:sz w:val="16"/>
      <w:szCs w:val="16"/>
    </w:rPr>
  </w:style>
  <w:style w:type="paragraph" w:styleId="Nagwek">
    <w:name w:val="header"/>
    <w:basedOn w:val="Normalny"/>
    <w:link w:val="NagwekZnak"/>
    <w:uiPriority w:val="99"/>
    <w:semiHidden/>
    <w:unhideWhenUsed/>
    <w:rsid w:val="008A19C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A19CA"/>
  </w:style>
  <w:style w:type="paragraph" w:customStyle="1" w:styleId="Default">
    <w:name w:val="Default"/>
    <w:basedOn w:val="Normalny"/>
    <w:rsid w:val="008A19CA"/>
    <w:pPr>
      <w:autoSpaceDE w:val="0"/>
      <w:autoSpaceDN w:val="0"/>
      <w:spacing w:after="0" w:line="240" w:lineRule="auto"/>
    </w:pPr>
    <w:rPr>
      <w:rFonts w:ascii="Calibri" w:hAnsi="Calibri"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952</Words>
  <Characters>5714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CPE</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Wantoch-Rekowska</dc:creator>
  <cp:lastModifiedBy>Katarzyna Wantoch-Rekowska</cp:lastModifiedBy>
  <cp:revision>1</cp:revision>
  <dcterms:created xsi:type="dcterms:W3CDTF">2017-11-29T11:11:00Z</dcterms:created>
  <dcterms:modified xsi:type="dcterms:W3CDTF">2017-11-29T11:25:00Z</dcterms:modified>
</cp:coreProperties>
</file>