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144"/>
      </w:tblGrid>
      <w:tr w:rsidR="006E0C97" w:rsidRPr="001038B8" w:rsidTr="00D0689E">
        <w:trPr>
          <w:trHeight w:val="408"/>
        </w:trPr>
        <w:tc>
          <w:tcPr>
            <w:tcW w:w="10144" w:type="dxa"/>
            <w:shd w:val="clear" w:color="auto" w:fill="D9D9D9" w:themeFill="background1" w:themeFillShade="D9"/>
          </w:tcPr>
          <w:p w:rsidR="006E0C97" w:rsidRPr="007C51C4" w:rsidRDefault="006E0C97" w:rsidP="004F0F54">
            <w:pPr>
              <w:jc w:val="both"/>
              <w:rPr>
                <w:b/>
                <w:color w:val="000000" w:themeColor="text1"/>
              </w:rPr>
            </w:pPr>
            <w:r w:rsidRPr="007C51C4">
              <w:rPr>
                <w:b/>
                <w:color w:val="000000" w:themeColor="text1"/>
              </w:rPr>
              <w:t>1. Jaki jest maksymalny rozmiar pliku, który można wgrać do generat</w:t>
            </w:r>
            <w:r>
              <w:rPr>
                <w:b/>
                <w:color w:val="000000" w:themeColor="text1"/>
              </w:rPr>
              <w:t>ora?</w:t>
            </w:r>
            <w:r w:rsidRPr="007C51C4">
              <w:rPr>
                <w:b/>
                <w:color w:val="000000" w:themeColor="text1"/>
              </w:rPr>
              <w:t xml:space="preserve"> </w:t>
            </w:r>
          </w:p>
          <w:p w:rsidR="006E0C97" w:rsidRPr="00DA5E60" w:rsidRDefault="006E0C97" w:rsidP="004F0F54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6E0C97" w:rsidRPr="001038B8" w:rsidTr="008B3013">
        <w:trPr>
          <w:trHeight w:val="272"/>
        </w:trPr>
        <w:tc>
          <w:tcPr>
            <w:tcW w:w="10144" w:type="dxa"/>
          </w:tcPr>
          <w:p w:rsidR="006E0C97" w:rsidRPr="000E520E" w:rsidRDefault="006E0C97" w:rsidP="004F0F54">
            <w:pPr>
              <w:jc w:val="both"/>
              <w:rPr>
                <w:rFonts w:cs="Arial"/>
              </w:rPr>
            </w:pPr>
            <w:r w:rsidRPr="000E520E">
              <w:rPr>
                <w:color w:val="000000" w:themeColor="text1"/>
              </w:rPr>
              <w:t>Maksymalny rozmiar pliku to 100 MB.</w:t>
            </w:r>
          </w:p>
          <w:p w:rsidR="006E0C97" w:rsidRPr="000E520E" w:rsidRDefault="006E0C97" w:rsidP="004F0F54">
            <w:pPr>
              <w:tabs>
                <w:tab w:val="left" w:pos="1470"/>
              </w:tabs>
              <w:rPr>
                <w:rFonts w:cs="Arial"/>
              </w:rPr>
            </w:pPr>
          </w:p>
        </w:tc>
      </w:tr>
      <w:tr w:rsidR="006E0C97" w:rsidRPr="001038B8" w:rsidTr="00D0689E">
        <w:trPr>
          <w:trHeight w:val="719"/>
        </w:trPr>
        <w:tc>
          <w:tcPr>
            <w:tcW w:w="10144" w:type="dxa"/>
            <w:shd w:val="clear" w:color="auto" w:fill="D9D9D9" w:themeFill="background1" w:themeFillShade="D9"/>
          </w:tcPr>
          <w:p w:rsidR="006E0C97" w:rsidRPr="000E520E" w:rsidRDefault="006E0C97" w:rsidP="004F0F54">
            <w:pPr>
              <w:jc w:val="both"/>
              <w:rPr>
                <w:rFonts w:cs="Arial"/>
                <w:b/>
              </w:rPr>
            </w:pPr>
            <w:r w:rsidRPr="00AF4A61">
              <w:rPr>
                <w:b/>
              </w:rPr>
              <w:t xml:space="preserve">2. </w:t>
            </w:r>
            <w:r w:rsidRPr="000E520E">
              <w:rPr>
                <w:rFonts w:cs="Arial"/>
                <w:b/>
              </w:rPr>
              <w:t>Czy jest konieczne tłumaczenie z</w:t>
            </w:r>
            <w:r>
              <w:rPr>
                <w:rFonts w:cs="Arial"/>
                <w:b/>
              </w:rPr>
              <w:t>ałączników do Aplikacji Pro</w:t>
            </w:r>
            <w:r w:rsidR="004F0F54">
              <w:rPr>
                <w:rFonts w:cs="Arial"/>
                <w:b/>
              </w:rPr>
              <w:t>jektowej na język angielski, jeśli</w:t>
            </w:r>
            <w:r>
              <w:rPr>
                <w:rFonts w:cs="Arial"/>
                <w:b/>
              </w:rPr>
              <w:t xml:space="preserve"> oryginały </w:t>
            </w:r>
            <w:r>
              <w:rPr>
                <w:rFonts w:cs="Arial"/>
                <w:b/>
              </w:rPr>
              <w:br/>
              <w:t>są w językach narodowych?</w:t>
            </w:r>
          </w:p>
        </w:tc>
      </w:tr>
      <w:tr w:rsidR="006E0C97" w:rsidRPr="001038B8" w:rsidTr="006E0C97">
        <w:trPr>
          <w:trHeight w:val="2277"/>
        </w:trPr>
        <w:tc>
          <w:tcPr>
            <w:tcW w:w="10144" w:type="dxa"/>
          </w:tcPr>
          <w:p w:rsidR="006E0C97" w:rsidRPr="004947AE" w:rsidRDefault="006E0C97" w:rsidP="00F7080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Nie ma potrzeby tłumaczenia </w:t>
            </w:r>
            <w:r w:rsidR="004F0F54">
              <w:rPr>
                <w:rFonts w:cs="Arial"/>
              </w:rPr>
              <w:t xml:space="preserve">oficjalnych </w:t>
            </w:r>
            <w:r>
              <w:rPr>
                <w:rFonts w:cs="Arial"/>
              </w:rPr>
              <w:t xml:space="preserve">dokumentów przygotowanych w języku polskim lub rosyjskim, </w:t>
            </w:r>
            <w:r w:rsidR="004F0F54">
              <w:rPr>
                <w:rFonts w:cs="Arial"/>
              </w:rPr>
              <w:t>które są załącznikami do</w:t>
            </w:r>
            <w:r w:rsidR="004F0F54">
              <w:rPr>
                <w:rFonts w:cs="Arial"/>
                <w:b/>
              </w:rPr>
              <w:t xml:space="preserve"> </w:t>
            </w:r>
            <w:r w:rsidR="004F0F54" w:rsidRPr="004F0F54">
              <w:rPr>
                <w:rFonts w:cs="Arial"/>
              </w:rPr>
              <w:t>Aplikacji Projektowej</w:t>
            </w:r>
            <w:r w:rsidR="00F7080E">
              <w:rPr>
                <w:rFonts w:cs="Arial"/>
              </w:rPr>
              <w:t xml:space="preserve"> dla których</w:t>
            </w:r>
            <w:r>
              <w:rPr>
                <w:rFonts w:cs="Arial"/>
              </w:rPr>
              <w:t xml:space="preserve"> nie jest wymagane używanie wzorów przygotow</w:t>
            </w:r>
            <w:r w:rsidR="00F7080E">
              <w:rPr>
                <w:rFonts w:cs="Arial"/>
              </w:rPr>
              <w:t>anych przez Program (np. statutów, bilansów lub dokumentów fiskalnych</w:t>
            </w:r>
            <w:r>
              <w:rPr>
                <w:rFonts w:cs="Arial"/>
              </w:rPr>
              <w:t>, dokum</w:t>
            </w:r>
            <w:r w:rsidR="00F7080E">
              <w:rPr>
                <w:rFonts w:cs="Arial"/>
              </w:rPr>
              <w:t>entów rejestracyjnych, pełnych studiów</w:t>
            </w:r>
            <w:r>
              <w:rPr>
                <w:rFonts w:cs="Arial"/>
              </w:rPr>
              <w:t xml:space="preserve"> wykonalności (oprócz streszczenia w </w:t>
            </w:r>
            <w:r w:rsidR="00F7080E">
              <w:rPr>
                <w:rFonts w:cs="Arial"/>
              </w:rPr>
              <w:t xml:space="preserve">języku angielskim), pozwolenia </w:t>
            </w:r>
            <w:r>
              <w:rPr>
                <w:rFonts w:cs="Arial"/>
              </w:rPr>
              <w:t>na budowę, oceny oddzia</w:t>
            </w:r>
            <w:r w:rsidR="00F7080E">
              <w:rPr>
                <w:rFonts w:cs="Arial"/>
              </w:rPr>
              <w:t>ływania na środowisko, rozdziałów</w:t>
            </w:r>
            <w:r>
              <w:rPr>
                <w:rFonts w:cs="Arial"/>
              </w:rPr>
              <w:t xml:space="preserve"> dokumentacji technicznej itp.) i mogą być one </w:t>
            </w:r>
            <w:r w:rsidRPr="000F1F4B">
              <w:rPr>
                <w:rFonts w:cs="Arial"/>
              </w:rPr>
              <w:t>złożone w językach narodowych.</w:t>
            </w:r>
            <w:r w:rsidRPr="00DA5E60">
              <w:rPr>
                <w:rFonts w:cs="Arial"/>
              </w:rPr>
              <w:t xml:space="preserve"> </w:t>
            </w:r>
            <w:r w:rsidRPr="004947AE">
              <w:rPr>
                <w:rFonts w:cs="Arial"/>
              </w:rPr>
              <w:t>Jednakże, jeżeli benef</w:t>
            </w:r>
            <w:r w:rsidR="00F7080E">
              <w:rPr>
                <w:rFonts w:cs="Arial"/>
              </w:rPr>
              <w:t xml:space="preserve">icjent wiodący napisze pismo/wyjaśnienia do WST, to </w:t>
            </w:r>
            <w:r w:rsidRPr="00AF4A61">
              <w:rPr>
                <w:rFonts w:cs="Arial"/>
              </w:rPr>
              <w:t>powinien być on napisany w języku angielskim</w:t>
            </w:r>
            <w:r w:rsidR="00F7080E">
              <w:rPr>
                <w:rFonts w:cs="Arial"/>
              </w:rPr>
              <w:t>,</w:t>
            </w:r>
            <w:r w:rsidRPr="00AF4A61">
              <w:rPr>
                <w:rFonts w:cs="Arial"/>
              </w:rPr>
              <w:t xml:space="preserve"> j</w:t>
            </w:r>
            <w:r>
              <w:rPr>
                <w:rFonts w:cs="Arial"/>
              </w:rPr>
              <w:t>ako oficjalnym języku Programu.</w:t>
            </w:r>
            <w:r w:rsidR="00B74D6B">
              <w:rPr>
                <w:rFonts w:cs="Arial"/>
              </w:rPr>
              <w:t xml:space="preserve"> </w:t>
            </w:r>
            <w:r w:rsidRPr="00AF4A61">
              <w:rPr>
                <w:rFonts w:cs="Arial"/>
              </w:rPr>
              <w:t>Pozostałe załączniki, których wzory s</w:t>
            </w:r>
            <w:r>
              <w:rPr>
                <w:rFonts w:cs="Arial"/>
              </w:rPr>
              <w:t>ą dostępne w generatorze wniosków</w:t>
            </w:r>
            <w:r w:rsidR="00F7080E">
              <w:rPr>
                <w:rFonts w:cs="Arial"/>
              </w:rPr>
              <w:t xml:space="preserve"> (np. deklaracje, oświadczenia </w:t>
            </w:r>
            <w:r>
              <w:rPr>
                <w:rFonts w:cs="Arial"/>
              </w:rPr>
              <w:t>o partnerstwie itp.) muszą być wypełnione w języku angielskim.</w:t>
            </w:r>
            <w:r w:rsidRPr="00684E45">
              <w:rPr>
                <w:rFonts w:cs="Arial"/>
              </w:rPr>
              <w:t xml:space="preserve"> </w:t>
            </w:r>
          </w:p>
        </w:tc>
      </w:tr>
      <w:tr w:rsidR="006E0C97" w:rsidRPr="001038B8" w:rsidTr="002038C8">
        <w:trPr>
          <w:trHeight w:val="326"/>
        </w:trPr>
        <w:tc>
          <w:tcPr>
            <w:tcW w:w="10144" w:type="dxa"/>
            <w:shd w:val="clear" w:color="auto" w:fill="D9D9D9" w:themeFill="background1" w:themeFillShade="D9"/>
          </w:tcPr>
          <w:p w:rsidR="006E0C97" w:rsidRPr="00684E45" w:rsidRDefault="006E0C97" w:rsidP="004F0F54">
            <w:pPr>
              <w:pStyle w:val="Zwykytekst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84E4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3. Czy kopie aneksów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, które będą wgrane do generatora</w:t>
            </w:r>
            <w:r w:rsidRPr="00684E4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powinny b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yć potwierdzone za zgodność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br/>
              <w:t>z oryginałem?</w:t>
            </w:r>
          </w:p>
        </w:tc>
      </w:tr>
      <w:tr w:rsidR="006E0C97" w:rsidRPr="001038B8" w:rsidTr="00D0689E">
        <w:trPr>
          <w:trHeight w:val="1836"/>
        </w:trPr>
        <w:tc>
          <w:tcPr>
            <w:tcW w:w="10144" w:type="dxa"/>
          </w:tcPr>
          <w:p w:rsidR="006E0C97" w:rsidRDefault="006E0C97" w:rsidP="004F0F54">
            <w:pPr>
              <w:pStyle w:val="Zwykyteks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84E45">
              <w:rPr>
                <w:rFonts w:asciiTheme="minorHAnsi" w:hAnsiTheme="minorHAnsi" w:cs="Arial"/>
                <w:sz w:val="22"/>
                <w:szCs w:val="22"/>
              </w:rPr>
              <w:t>Jeżeli posiadacie Państwo oryginały 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okumentów (np. statuty, </w:t>
            </w:r>
            <w:r w:rsidRPr="00684E45">
              <w:rPr>
                <w:rFonts w:asciiTheme="minorHAnsi" w:hAnsiTheme="minorHAnsi" w:cs="Arial"/>
                <w:sz w:val="22"/>
                <w:szCs w:val="22"/>
              </w:rPr>
              <w:t>bilanse</w:t>
            </w:r>
            <w:r>
              <w:rPr>
                <w:rFonts w:asciiTheme="minorHAnsi" w:hAnsiTheme="minorHAnsi" w:cs="Arial"/>
                <w:sz w:val="22"/>
                <w:szCs w:val="22"/>
              </w:rPr>
              <w:t>, itp.), powinniście je zeskanować i wgrać do generatora.</w:t>
            </w:r>
          </w:p>
          <w:p w:rsidR="006E0C97" w:rsidRPr="000F1F4B" w:rsidRDefault="006E0C97" w:rsidP="004F0F54">
            <w:pPr>
              <w:pStyle w:val="Zwykyteks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1F4B">
              <w:rPr>
                <w:rFonts w:asciiTheme="minorHAnsi" w:hAnsiTheme="minorHAnsi" w:cs="Arial"/>
                <w:sz w:val="22"/>
                <w:szCs w:val="22"/>
              </w:rPr>
              <w:t>Jeśli posiadacie Państwo tylko k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opie dokumentów, najpierw należy upewnić się czy są one potwierdzone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 xml:space="preserve">za zgodność z oryginałem i dopiero po tym można je zeskanować i wgrać do generatora. W sytuacji,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>gdy dokument zawiera wiele stron można potwierdzić każdą stronę osobno lub potwierdzić na pierwszej stronie wskazując łączną ilość stron dokumentu, przy czym należy każdą stronę ponumerować ręcznie.</w:t>
            </w:r>
          </w:p>
        </w:tc>
      </w:tr>
      <w:tr w:rsidR="006E0C97" w:rsidRPr="001038B8" w:rsidTr="00A404A7">
        <w:trPr>
          <w:trHeight w:val="272"/>
        </w:trPr>
        <w:tc>
          <w:tcPr>
            <w:tcW w:w="10144" w:type="dxa"/>
            <w:shd w:val="clear" w:color="auto" w:fill="D9D9D9" w:themeFill="background1" w:themeFillShade="D9"/>
          </w:tcPr>
          <w:p w:rsidR="006E0C97" w:rsidRPr="00DA5E60" w:rsidRDefault="006E0C97" w:rsidP="004F0F54">
            <w:pPr>
              <w:jc w:val="both"/>
              <w:rPr>
                <w:b/>
              </w:rPr>
            </w:pPr>
            <w:r w:rsidRPr="005100A9">
              <w:rPr>
                <w:b/>
                <w:color w:val="000000" w:themeColor="text1"/>
              </w:rPr>
              <w:t xml:space="preserve">4. </w:t>
            </w:r>
            <w:r w:rsidRPr="005100A9">
              <w:rPr>
                <w:b/>
              </w:rPr>
              <w:t xml:space="preserve"> </w:t>
            </w:r>
            <w:r w:rsidRPr="00DA5E60">
              <w:rPr>
                <w:b/>
                <w:color w:val="000000" w:themeColor="text1"/>
              </w:rPr>
              <w:t xml:space="preserve">Jakie koszty audytu należy </w:t>
            </w:r>
            <w:r>
              <w:rPr>
                <w:b/>
                <w:color w:val="000000" w:themeColor="text1"/>
              </w:rPr>
              <w:t>zaplanować w budżecie projektu?</w:t>
            </w:r>
          </w:p>
        </w:tc>
      </w:tr>
      <w:tr w:rsidR="006E0C97" w:rsidRPr="001038B8" w:rsidTr="00D0689E">
        <w:trPr>
          <w:trHeight w:val="1210"/>
        </w:trPr>
        <w:tc>
          <w:tcPr>
            <w:tcW w:w="10144" w:type="dxa"/>
          </w:tcPr>
          <w:p w:rsidR="006E0C97" w:rsidRPr="005100A9" w:rsidRDefault="006E0C97" w:rsidP="004F0F54">
            <w:pPr>
              <w:jc w:val="both"/>
              <w:rPr>
                <w:color w:val="000000" w:themeColor="text1"/>
              </w:rPr>
            </w:pPr>
            <w:r w:rsidRPr="00DA5E60">
              <w:rPr>
                <w:color w:val="000000" w:themeColor="text1"/>
              </w:rPr>
              <w:t xml:space="preserve">W przypadku wybrania opcji </w:t>
            </w:r>
            <w:r>
              <w:rPr>
                <w:color w:val="000000" w:themeColor="text1"/>
              </w:rPr>
              <w:t xml:space="preserve">płatności nr 1 (35% + 50% + 15%) każdy beneficjent powinien zaplanować przeprowadzenie audytu raportu okresowego oraz raportu końcowego. </w:t>
            </w:r>
            <w:r w:rsidRPr="005100A9">
              <w:rPr>
                <w:color w:val="000000" w:themeColor="text1"/>
              </w:rPr>
              <w:t xml:space="preserve">W przypadku wybrania opcji nr 2 (100%) każdy beneficjent powinien przeprowadzić audyt raportu końcowego. Biorąc pod uwagę konieczność przeprowadzenia niezależnego audytu, koszt </w:t>
            </w:r>
            <w:r>
              <w:rPr>
                <w:color w:val="000000" w:themeColor="text1"/>
              </w:rPr>
              <w:t>należy zaplanować w budżecie projektu.</w:t>
            </w:r>
          </w:p>
        </w:tc>
      </w:tr>
      <w:tr w:rsidR="006E0C97" w:rsidRPr="001038B8" w:rsidTr="008A6628">
        <w:trPr>
          <w:trHeight w:val="386"/>
        </w:trPr>
        <w:tc>
          <w:tcPr>
            <w:tcW w:w="10144" w:type="dxa"/>
            <w:shd w:val="clear" w:color="auto" w:fill="D9D9D9" w:themeFill="background1" w:themeFillShade="D9"/>
          </w:tcPr>
          <w:p w:rsidR="006E0C97" w:rsidRPr="00E40925" w:rsidRDefault="006E0C97" w:rsidP="004F0F54">
            <w:pPr>
              <w:pStyle w:val="Zwykytekst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4092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5. </w:t>
            </w:r>
            <w:r w:rsidRPr="00E40925">
              <w:rPr>
                <w:rFonts w:asciiTheme="minorHAnsi" w:eastAsia="Calibri" w:hAnsiTheme="minorHAnsi" w:cs="Arial"/>
                <w:b/>
                <w:sz w:val="22"/>
                <w:szCs w:val="22"/>
              </w:rPr>
              <w:t>Czy w proje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>k</w:t>
            </w:r>
            <w:r w:rsidRPr="00E40925">
              <w:rPr>
                <w:rFonts w:asciiTheme="minorHAnsi" w:eastAsia="Calibri" w:hAnsiTheme="minorHAnsi" w:cs="Arial"/>
                <w:b/>
                <w:sz w:val="22"/>
                <w:szCs w:val="22"/>
              </w:rPr>
              <w:t>c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>ie można pokryć koszt zaproszenia eksperta spoza obszaru Programu?</w:t>
            </w:r>
          </w:p>
        </w:tc>
      </w:tr>
      <w:tr w:rsidR="006E0C97" w:rsidRPr="00B1680A" w:rsidTr="00D0689E">
        <w:trPr>
          <w:trHeight w:val="1522"/>
        </w:trPr>
        <w:tc>
          <w:tcPr>
            <w:tcW w:w="10144" w:type="dxa"/>
          </w:tcPr>
          <w:p w:rsidR="006E0C97" w:rsidRPr="008E65F0" w:rsidRDefault="006E0C97" w:rsidP="004F0F54">
            <w:pPr>
              <w:pStyle w:val="Zwykytekst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W ramach </w:t>
            </w:r>
            <w:r w:rsidRPr="00E40925">
              <w:rPr>
                <w:rFonts w:asciiTheme="minorHAnsi" w:eastAsia="Calibri" w:hAnsiTheme="minorHAnsi" w:cs="Arial"/>
                <w:sz w:val="22"/>
                <w:szCs w:val="22"/>
              </w:rPr>
              <w:t>proje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k</w:t>
            </w:r>
            <w:r w:rsidRPr="00E40925">
              <w:rPr>
                <w:rFonts w:asciiTheme="minorHAnsi" w:eastAsia="Calibri" w:hAnsiTheme="minorHAnsi" w:cs="Arial"/>
                <w:sz w:val="22"/>
                <w:szCs w:val="22"/>
              </w:rPr>
              <w:t>t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u</w:t>
            </w:r>
            <w:r w:rsidRPr="00E40925">
              <w:rPr>
                <w:rFonts w:asciiTheme="minorHAnsi" w:eastAsia="Calibri" w:hAnsiTheme="minorHAnsi" w:cs="Arial"/>
                <w:sz w:val="22"/>
                <w:szCs w:val="22"/>
              </w:rPr>
              <w:t xml:space="preserve"> moż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na</w:t>
            </w:r>
            <w:r w:rsidRPr="00E40925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zaprosić eksperta (np. do wygłoszenia prezentacji podczas konferencji lub przeprowadzenia zajęć), który pochodzi spoza obszaru Programu. K</w:t>
            </w:r>
            <w:r w:rsidRPr="00E40925">
              <w:rPr>
                <w:rFonts w:asciiTheme="minorHAnsi" w:eastAsia="Calibri" w:hAnsiTheme="minorHAnsi" w:cs="Arial"/>
                <w:sz w:val="22"/>
                <w:szCs w:val="22"/>
              </w:rPr>
              <w:t xml:space="preserve">oszty 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zw</w:t>
            </w:r>
            <w:r w:rsidRPr="00E40925">
              <w:rPr>
                <w:rFonts w:asciiTheme="minorHAnsi" w:eastAsia="Calibri" w:hAnsiTheme="minorHAnsi" w:cs="Arial"/>
                <w:sz w:val="22"/>
                <w:szCs w:val="22"/>
              </w:rPr>
              <w:t>iązane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 z tą usługą</w:t>
            </w:r>
            <w:r w:rsidRPr="00E40925">
              <w:rPr>
                <w:rFonts w:asciiTheme="minorHAnsi" w:eastAsia="Calibri" w:hAnsiTheme="minorHAnsi" w:cs="Arial"/>
                <w:sz w:val="22"/>
                <w:szCs w:val="22"/>
              </w:rPr>
              <w:t xml:space="preserve"> (podróże, zakwaterowanie, opłaty, itp.) nie powinny być u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jęte w linii budżetowej nr 2, ale w ramach umowy 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br/>
              <w:t xml:space="preserve">o świadczenie usługi podpisanej z ekspertem lub w kosztach konferencji/szkoleń ujętych w linii 4 Usługi. </w:t>
            </w:r>
            <w:r w:rsidRPr="008E65F0">
              <w:rPr>
                <w:rFonts w:asciiTheme="minorHAnsi" w:eastAsia="Calibri" w:hAnsiTheme="minorHAnsi" w:cs="Arial"/>
                <w:sz w:val="22"/>
                <w:szCs w:val="22"/>
              </w:rPr>
              <w:t xml:space="preserve">Należy pamiętać o konieczności stosowania 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zasad </w:t>
            </w:r>
            <w:r w:rsidRPr="008E65F0">
              <w:rPr>
                <w:rFonts w:asciiTheme="minorHAnsi" w:eastAsia="Calibri" w:hAnsiTheme="minorHAnsi" w:cs="Arial"/>
                <w:sz w:val="22"/>
                <w:szCs w:val="22"/>
              </w:rPr>
              <w:t>dotyczą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cych udzielania zamówień w projektach.</w:t>
            </w:r>
          </w:p>
        </w:tc>
      </w:tr>
      <w:tr w:rsidR="006E0C97" w:rsidRPr="001038B8" w:rsidTr="00A404A7">
        <w:trPr>
          <w:trHeight w:val="272"/>
        </w:trPr>
        <w:tc>
          <w:tcPr>
            <w:tcW w:w="10144" w:type="dxa"/>
            <w:shd w:val="clear" w:color="auto" w:fill="D9D9D9" w:themeFill="background1" w:themeFillShade="D9"/>
          </w:tcPr>
          <w:p w:rsidR="006E0C97" w:rsidRPr="008E65F0" w:rsidRDefault="006E0C97" w:rsidP="004F0F54">
            <w:pPr>
              <w:pStyle w:val="Zwykytekst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E65F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6. </w:t>
            </w:r>
            <w:r w:rsidRPr="008E65F0">
              <w:rPr>
                <w:rFonts w:asciiTheme="minorHAnsi" w:hAnsiTheme="minorHAnsi" w:cs="Arial"/>
                <w:b/>
                <w:sz w:val="22"/>
                <w:szCs w:val="22"/>
              </w:rPr>
              <w:t>Czy instytucja spoza obszaru P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rogramu może brać udział w projekcie jako beneficjent?</w:t>
            </w:r>
          </w:p>
        </w:tc>
      </w:tr>
      <w:tr w:rsidR="006E0C97" w:rsidRPr="001038B8" w:rsidTr="006E0C97">
        <w:trPr>
          <w:trHeight w:val="408"/>
        </w:trPr>
        <w:tc>
          <w:tcPr>
            <w:tcW w:w="10144" w:type="dxa"/>
          </w:tcPr>
          <w:p w:rsidR="006E0C97" w:rsidRPr="00235985" w:rsidRDefault="006E0C97" w:rsidP="004F0F54">
            <w:pPr>
              <w:pStyle w:val="Zwykyteks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35985">
              <w:rPr>
                <w:rFonts w:asciiTheme="minorHAnsi" w:hAnsiTheme="minorHAnsi" w:cs="Arial"/>
                <w:sz w:val="22"/>
                <w:szCs w:val="22"/>
              </w:rPr>
              <w:t>Organizacje ustanowione poza obszarem P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rogramu mogą uczestniczyć tylko w szczególnie uzasadnionych przypadkach. </w:t>
            </w:r>
            <w:r w:rsidRPr="00235985">
              <w:rPr>
                <w:rFonts w:asciiTheme="minorHAnsi" w:hAnsiTheme="minorHAnsi" w:cs="Arial"/>
                <w:sz w:val="22"/>
                <w:szCs w:val="22"/>
              </w:rPr>
              <w:t xml:space="preserve">Jak opisano w Podręczniku Programu część I – Wnioskodawca (p. 2.2 </w:t>
            </w:r>
            <w:proofErr w:type="spellStart"/>
            <w:r w:rsidRPr="00235985">
              <w:rPr>
                <w:rFonts w:asciiTheme="minorHAnsi" w:hAnsiTheme="minorHAnsi" w:cs="Arial"/>
                <w:sz w:val="22"/>
                <w:szCs w:val="22"/>
              </w:rPr>
              <w:t>K</w:t>
            </w:r>
            <w:r>
              <w:rPr>
                <w:rFonts w:asciiTheme="minorHAnsi" w:hAnsiTheme="minorHAnsi" w:cs="Arial"/>
                <w:sz w:val="22"/>
                <w:szCs w:val="22"/>
              </w:rPr>
              <w:t>walifikowalność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beneficjentów wiodących i beneficjentów), b</w:t>
            </w:r>
            <w:r w:rsidRPr="00235985">
              <w:rPr>
                <w:rFonts w:asciiTheme="minorHAnsi" w:hAnsiTheme="minorHAnsi" w:cs="Arial"/>
                <w:sz w:val="22"/>
                <w:szCs w:val="22"/>
              </w:rPr>
              <w:t xml:space="preserve">eneficjenci, którzy nie spełniają wymogów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ustanowienia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>w obszarze Programu</w:t>
            </w:r>
            <w:r w:rsidRPr="00235985">
              <w:rPr>
                <w:rFonts w:asciiTheme="minorHAnsi" w:hAnsiTheme="minorHAnsi" w:cs="Arial"/>
                <w:sz w:val="22"/>
                <w:szCs w:val="22"/>
              </w:rPr>
              <w:t xml:space="preserve"> muszą spełnić następujące warunki:</w:t>
            </w:r>
          </w:p>
          <w:p w:rsidR="006E0C97" w:rsidRPr="00235985" w:rsidRDefault="006E0C97" w:rsidP="004F0F54">
            <w:pPr>
              <w:pStyle w:val="Zwykytekst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235985">
              <w:rPr>
                <w:rFonts w:asciiTheme="minorHAnsi" w:hAnsiTheme="minorHAnsi" w:cs="Arial"/>
                <w:sz w:val="22"/>
                <w:szCs w:val="22"/>
              </w:rPr>
              <w:t>są podmiot</w:t>
            </w:r>
            <w:r>
              <w:rPr>
                <w:rFonts w:asciiTheme="minorHAnsi" w:hAnsiTheme="minorHAnsi" w:cs="Arial"/>
                <w:sz w:val="22"/>
                <w:szCs w:val="22"/>
              </w:rPr>
              <w:t>ami utworzonymi</w:t>
            </w:r>
            <w:r w:rsidRPr="00235985">
              <w:rPr>
                <w:rFonts w:asciiTheme="minorHAnsi" w:hAnsiTheme="minorHAnsi" w:cs="Arial"/>
                <w:sz w:val="22"/>
                <w:szCs w:val="22"/>
              </w:rPr>
              <w:t xml:space="preserve"> w Polsce lub w Rosji</w:t>
            </w:r>
            <w:r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:rsidR="006E0C97" w:rsidRPr="00235985" w:rsidRDefault="006E0C97" w:rsidP="004F0F54">
            <w:pPr>
              <w:pStyle w:val="Zwykytekst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235985">
              <w:rPr>
                <w:rFonts w:asciiTheme="minorHAnsi" w:hAnsiTheme="minorHAnsi" w:cs="Arial"/>
                <w:sz w:val="22"/>
                <w:szCs w:val="22"/>
              </w:rPr>
              <w:t xml:space="preserve">ich uczestnictwo jest uzasadnione rodzajem lub charakterem projektu i konieczne w celu jego skutecznego wdrożenia; </w:t>
            </w:r>
          </w:p>
          <w:p w:rsidR="00F7080E" w:rsidRDefault="006E0C97" w:rsidP="00F7080E">
            <w:pPr>
              <w:pStyle w:val="Zwykytekst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235985">
              <w:rPr>
                <w:rFonts w:asciiTheme="minorHAnsi" w:hAnsiTheme="minorHAnsi" w:cs="Arial"/>
                <w:sz w:val="22"/>
                <w:szCs w:val="22"/>
              </w:rPr>
              <w:t>całkowita kwota alokowana w ramach projektu tego rodzaju beneficjentom nie przekroczy 20%</w:t>
            </w:r>
            <w:r w:rsidR="00F7080E">
              <w:rPr>
                <w:rFonts w:cs="Arial"/>
              </w:rPr>
              <w:t xml:space="preserve"> </w:t>
            </w:r>
            <w:r w:rsidRPr="00F7080E">
              <w:rPr>
                <w:rFonts w:asciiTheme="minorHAnsi" w:hAnsiTheme="minorHAnsi" w:cs="Arial"/>
                <w:sz w:val="22"/>
                <w:szCs w:val="22"/>
              </w:rPr>
              <w:t xml:space="preserve">całkowitych kosztów </w:t>
            </w:r>
            <w:proofErr w:type="spellStart"/>
            <w:r w:rsidRPr="00F7080E">
              <w:rPr>
                <w:rFonts w:asciiTheme="minorHAnsi" w:hAnsiTheme="minorHAnsi" w:cs="Arial"/>
                <w:sz w:val="22"/>
                <w:szCs w:val="22"/>
              </w:rPr>
              <w:t>kwalifikowalnych</w:t>
            </w:r>
            <w:proofErr w:type="spellEnd"/>
            <w:r w:rsidRPr="00F7080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6E0C97" w:rsidRPr="00F7080E" w:rsidRDefault="006E0C97" w:rsidP="00F7080E">
            <w:pPr>
              <w:pStyle w:val="Zwykytekst"/>
              <w:jc w:val="both"/>
              <w:rPr>
                <w:rFonts w:cs="Arial"/>
              </w:rPr>
            </w:pPr>
            <w:r w:rsidRPr="00F7080E">
              <w:rPr>
                <w:rFonts w:asciiTheme="minorHAnsi" w:hAnsiTheme="minorHAnsi" w:cs="Arial"/>
                <w:sz w:val="22"/>
                <w:szCs w:val="22"/>
              </w:rPr>
              <w:t>W związku z powyższym</w:t>
            </w:r>
            <w:r w:rsidR="00F7080E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F7080E">
              <w:rPr>
                <w:rFonts w:asciiTheme="minorHAnsi" w:hAnsiTheme="minorHAnsi" w:cs="Arial"/>
                <w:sz w:val="22"/>
                <w:szCs w:val="22"/>
              </w:rPr>
              <w:t xml:space="preserve"> takie organizacje mogą uczestniczyć w projektach, jednak ich udział jest znacząco ograniczony.</w:t>
            </w:r>
          </w:p>
        </w:tc>
      </w:tr>
      <w:tr w:rsidR="006E0C97" w:rsidRPr="001038B8" w:rsidTr="00A404A7">
        <w:trPr>
          <w:trHeight w:val="272"/>
        </w:trPr>
        <w:tc>
          <w:tcPr>
            <w:tcW w:w="10144" w:type="dxa"/>
            <w:shd w:val="clear" w:color="auto" w:fill="D9D9D9" w:themeFill="background1" w:themeFillShade="D9"/>
          </w:tcPr>
          <w:p w:rsidR="006E0C97" w:rsidRPr="00955C25" w:rsidRDefault="006E0C97" w:rsidP="007C350A">
            <w:pPr>
              <w:jc w:val="both"/>
              <w:rPr>
                <w:b/>
              </w:rPr>
            </w:pPr>
            <w:r w:rsidRPr="00E3082D">
              <w:rPr>
                <w:b/>
              </w:rPr>
              <w:lastRenderedPageBreak/>
              <w:t xml:space="preserve">7. </w:t>
            </w:r>
            <w:r w:rsidRPr="00E3082D">
              <w:rPr>
                <w:rFonts w:cs="Arial"/>
                <w:b/>
              </w:rPr>
              <w:t xml:space="preserve">W przypadku partnerów rosyjskich </w:t>
            </w:r>
            <w:r w:rsidR="00F7080E">
              <w:rPr>
                <w:rFonts w:cs="Arial"/>
                <w:b/>
              </w:rPr>
              <w:t xml:space="preserve">– czy jeśli </w:t>
            </w:r>
            <w:r w:rsidRPr="00E3082D">
              <w:rPr>
                <w:rFonts w:cs="Arial"/>
                <w:b/>
              </w:rPr>
              <w:t>gmina działa jako beneficjent w projekcie z komponentem infrastrukturalnym i</w:t>
            </w:r>
            <w:r w:rsidR="007C350A">
              <w:rPr>
                <w:rFonts w:cs="Arial"/>
                <w:b/>
              </w:rPr>
              <w:t>,</w:t>
            </w:r>
            <w:r w:rsidR="007C350A" w:rsidRPr="00E3082D">
              <w:rPr>
                <w:rFonts w:cs="Arial"/>
                <w:b/>
              </w:rPr>
              <w:t xml:space="preserve"> ponieważ sama gmina nie może być </w:t>
            </w:r>
            <w:r w:rsidR="007C350A" w:rsidRPr="002B0D99">
              <w:rPr>
                <w:rFonts w:cs="Arial"/>
                <w:b/>
              </w:rPr>
              <w:t>bezpośrednio zamawiającym</w:t>
            </w:r>
            <w:r w:rsidR="007C350A">
              <w:rPr>
                <w:rFonts w:cs="Arial"/>
                <w:b/>
              </w:rPr>
              <w:t>,</w:t>
            </w:r>
            <w:r w:rsidRPr="00E3082D">
              <w:rPr>
                <w:rFonts w:cs="Arial"/>
                <w:b/>
              </w:rPr>
              <w:t xml:space="preserve"> będzie angażować inne organizacje</w:t>
            </w:r>
            <w:r w:rsidR="00F7080E" w:rsidRPr="00E3082D">
              <w:rPr>
                <w:rFonts w:cs="Arial"/>
                <w:b/>
              </w:rPr>
              <w:t xml:space="preserve"> do realizacji projektu</w:t>
            </w:r>
            <w:r w:rsidRPr="00E3082D">
              <w:rPr>
                <w:rFonts w:cs="Arial"/>
                <w:b/>
              </w:rPr>
              <w:t xml:space="preserve"> (upoważnione/uprawnione instytucje i przedsiębiorstwa komun</w:t>
            </w:r>
            <w:r>
              <w:rPr>
                <w:rFonts w:cs="Arial"/>
                <w:b/>
              </w:rPr>
              <w:t xml:space="preserve">alne lub </w:t>
            </w:r>
            <w:r w:rsidRPr="00E3082D">
              <w:rPr>
                <w:rFonts w:cs="Arial"/>
                <w:b/>
              </w:rPr>
              <w:t>ich wydziały posiadające osobowością prawną)</w:t>
            </w:r>
            <w:r w:rsidR="007C350A">
              <w:rPr>
                <w:rFonts w:cs="Arial"/>
                <w:b/>
              </w:rPr>
              <w:t xml:space="preserve"> to c</w:t>
            </w:r>
            <w:r w:rsidRPr="00E3082D">
              <w:rPr>
                <w:rFonts w:cs="Arial"/>
                <w:b/>
              </w:rPr>
              <w:t xml:space="preserve">zy takie organizacje </w:t>
            </w:r>
            <w:r w:rsidR="007C350A">
              <w:rPr>
                <w:rFonts w:cs="Arial"/>
                <w:b/>
              </w:rPr>
              <w:t xml:space="preserve">nie </w:t>
            </w:r>
            <w:r w:rsidRPr="00E3082D">
              <w:rPr>
                <w:rFonts w:cs="Arial"/>
                <w:b/>
              </w:rPr>
              <w:t>powinny pełnić rolę beneficjentów projektu</w:t>
            </w:r>
            <w:r w:rsidR="007C350A">
              <w:rPr>
                <w:rFonts w:cs="Arial"/>
                <w:b/>
              </w:rPr>
              <w:t xml:space="preserve"> zamiast gminy</w:t>
            </w:r>
            <w:r w:rsidRPr="00E3082D">
              <w:rPr>
                <w:rFonts w:cs="Arial"/>
                <w:b/>
              </w:rPr>
              <w:t>?</w:t>
            </w:r>
          </w:p>
        </w:tc>
      </w:tr>
      <w:tr w:rsidR="006E0C97" w:rsidRPr="001038B8" w:rsidTr="006E0C97">
        <w:trPr>
          <w:trHeight w:val="1185"/>
        </w:trPr>
        <w:tc>
          <w:tcPr>
            <w:tcW w:w="10144" w:type="dxa"/>
          </w:tcPr>
          <w:p w:rsidR="006E0C97" w:rsidRPr="00CB54E4" w:rsidRDefault="006E0C97" w:rsidP="004F0F54">
            <w:pPr>
              <w:jc w:val="both"/>
              <w:rPr>
                <w:rFonts w:cs="Arial"/>
              </w:rPr>
            </w:pPr>
            <w:r w:rsidRPr="00362CAD">
              <w:rPr>
                <w:rFonts w:cs="Arial"/>
              </w:rPr>
              <w:t xml:space="preserve">Jeżeli instytucja spełni wymagania opisane w p. 2.2 </w:t>
            </w:r>
            <w:r>
              <w:rPr>
                <w:rFonts w:cs="Arial"/>
              </w:rPr>
              <w:t>Podręcznika</w:t>
            </w:r>
            <w:r w:rsidRPr="00235985">
              <w:rPr>
                <w:rFonts w:cs="Arial"/>
              </w:rPr>
              <w:t xml:space="preserve"> Programu część I – Wnioskodawca</w:t>
            </w:r>
            <w:r>
              <w:rPr>
                <w:rFonts w:cs="Arial"/>
              </w:rPr>
              <w:t xml:space="preserve"> i jej udział jest uzasadniony warunkami realizacji projektu (np. możliwością bycia zamawiającym) może zostać ona włączona do partnerstwa jako beneficjent projektu. </w:t>
            </w:r>
            <w:r w:rsidRPr="00362CAD">
              <w:rPr>
                <w:rFonts w:cs="Arial"/>
              </w:rPr>
              <w:t>Jednakże, decyzja co do składu partnerstwa leży po stronie po</w:t>
            </w:r>
            <w:r>
              <w:rPr>
                <w:rFonts w:cs="Arial"/>
              </w:rPr>
              <w:t>tencjalnych beneficjentów.</w:t>
            </w:r>
          </w:p>
        </w:tc>
      </w:tr>
      <w:tr w:rsidR="006E0C97" w:rsidRPr="001038B8" w:rsidTr="008A6628">
        <w:trPr>
          <w:trHeight w:val="328"/>
        </w:trPr>
        <w:tc>
          <w:tcPr>
            <w:tcW w:w="10144" w:type="dxa"/>
            <w:shd w:val="clear" w:color="auto" w:fill="D9D9D9" w:themeFill="background1" w:themeFillShade="D9"/>
          </w:tcPr>
          <w:p w:rsidR="006E0C97" w:rsidRPr="00E71786" w:rsidRDefault="006E0C97" w:rsidP="004F0F54">
            <w:pPr>
              <w:jc w:val="both"/>
              <w:rPr>
                <w:b/>
              </w:rPr>
            </w:pPr>
            <w:r w:rsidRPr="00E71786">
              <w:rPr>
                <w:b/>
              </w:rPr>
              <w:t>8. Part</w:t>
            </w:r>
            <w:r>
              <w:rPr>
                <w:b/>
              </w:rPr>
              <w:t>n</w:t>
            </w:r>
            <w:r w:rsidRPr="00E71786">
              <w:rPr>
                <w:b/>
              </w:rPr>
              <w:t xml:space="preserve">erzy z Polski </w:t>
            </w:r>
            <w:r>
              <w:rPr>
                <w:b/>
              </w:rPr>
              <w:t>i</w:t>
            </w:r>
            <w:r w:rsidRPr="00E71786">
              <w:rPr>
                <w:b/>
              </w:rPr>
              <w:t xml:space="preserve"> R</w:t>
            </w:r>
            <w:r>
              <w:rPr>
                <w:b/>
              </w:rPr>
              <w:t xml:space="preserve">osji przygotowują dwa </w:t>
            </w:r>
            <w:proofErr w:type="spellStart"/>
            <w:r>
              <w:rPr>
                <w:b/>
              </w:rPr>
              <w:t>projekty</w:t>
            </w:r>
            <w:proofErr w:type="spellEnd"/>
            <w:r>
              <w:rPr>
                <w:b/>
              </w:rPr>
              <w:t xml:space="preserve"> w Celu Tematycznym DOSTĘPNOŚĆ. W ramach pierwszego projektu chcą zmodernizować 2 km drogi po polskiej stronie oraz 2 km drogi po stronie rosyjskiej. W ramach drugiego projektu planują zmodernizować 3 km drogi po polskiej stronie oraz 3 km drogi po stronie rosyjskiej. W przypadku obydwu projektów opracowana</w:t>
            </w:r>
            <w:r w:rsidRPr="00E71786">
              <w:rPr>
                <w:b/>
              </w:rPr>
              <w:t xml:space="preserve"> jest ta sama dokumentacja techniczna</w:t>
            </w:r>
            <w:r>
              <w:rPr>
                <w:b/>
              </w:rPr>
              <w:t xml:space="preserve">. Czy jest możliwe wnioskowanie o dwa </w:t>
            </w:r>
            <w:proofErr w:type="spellStart"/>
            <w:r>
              <w:rPr>
                <w:b/>
              </w:rPr>
              <w:t>projekty</w:t>
            </w:r>
            <w:proofErr w:type="spellEnd"/>
            <w:r>
              <w:rPr>
                <w:b/>
              </w:rPr>
              <w:t>, w sytuacji gdy są one objęte jedną dokumentacją?</w:t>
            </w:r>
          </w:p>
        </w:tc>
      </w:tr>
      <w:tr w:rsidR="006E0C97" w:rsidRPr="001038B8" w:rsidTr="00D0689E">
        <w:trPr>
          <w:trHeight w:val="257"/>
        </w:trPr>
        <w:tc>
          <w:tcPr>
            <w:tcW w:w="10144" w:type="dxa"/>
            <w:tcBorders>
              <w:bottom w:val="single" w:sz="4" w:space="0" w:color="auto"/>
            </w:tcBorders>
          </w:tcPr>
          <w:p w:rsidR="006E0C97" w:rsidRPr="00330C4D" w:rsidRDefault="006E0C97" w:rsidP="004F0F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Należy </w:t>
            </w:r>
            <w:r w:rsidRPr="008F706C">
              <w:rPr>
                <w:rFonts w:cs="Arial"/>
              </w:rPr>
              <w:t>wziąć p</w:t>
            </w:r>
            <w:r>
              <w:rPr>
                <w:rFonts w:cs="Arial"/>
              </w:rPr>
              <w:t xml:space="preserve">od uwagę, że planowane działanie powinno być rozpatrywane w kontekście efektywnej definicji projektu opisanej w p. 2.3.1 </w:t>
            </w:r>
            <w:r w:rsidRPr="00235985">
              <w:rPr>
                <w:rFonts w:cs="Arial"/>
              </w:rPr>
              <w:t>Podręczniku Programu część I – Wnioskodawca</w:t>
            </w:r>
            <w:r>
              <w:rPr>
                <w:rFonts w:cs="Arial"/>
              </w:rPr>
              <w:t xml:space="preserve">. </w:t>
            </w:r>
            <w:r w:rsidRPr="00330C4D">
              <w:rPr>
                <w:rFonts w:cs="Arial"/>
              </w:rPr>
              <w:t xml:space="preserve">Zgodnie z nią </w:t>
            </w:r>
            <w:r>
              <w:rPr>
                <w:rFonts w:cs="Arial"/>
              </w:rPr>
              <w:t>projek</w:t>
            </w:r>
            <w:r w:rsidRPr="00330C4D">
              <w:rPr>
                <w:rFonts w:cs="Arial"/>
              </w:rPr>
              <w:t>t oznacza szereg działań zdefiniowanych i objętych zarządzaniem w związku z celami, rezultatami,</w:t>
            </w:r>
            <w:r>
              <w:rPr>
                <w:rFonts w:cs="Arial"/>
              </w:rPr>
              <w:t xml:space="preserve"> </w:t>
            </w:r>
            <w:r w:rsidRPr="00330C4D">
              <w:rPr>
                <w:rFonts w:cs="Arial"/>
              </w:rPr>
              <w:t>produktami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 w:rsidRPr="00330C4D">
              <w:rPr>
                <w:rFonts w:cs="Arial"/>
              </w:rPr>
              <w:t>i efektami</w:t>
            </w:r>
            <w:r>
              <w:rPr>
                <w:rFonts w:cs="Arial"/>
              </w:rPr>
              <w:t xml:space="preserve"> </w:t>
            </w:r>
            <w:r w:rsidRPr="00330C4D">
              <w:rPr>
                <w:rFonts w:cs="Arial"/>
              </w:rPr>
              <w:t>projektu, do których osiągnięcia ma prowadzić w określonym czasie i w ramach określonego budżetu. Cele,</w:t>
            </w:r>
            <w:r>
              <w:rPr>
                <w:rFonts w:cs="Arial"/>
              </w:rPr>
              <w:t xml:space="preserve"> </w:t>
            </w:r>
            <w:r w:rsidRPr="00330C4D">
              <w:rPr>
                <w:rFonts w:cs="Arial"/>
              </w:rPr>
              <w:t>produkty,</w:t>
            </w:r>
            <w:r>
              <w:rPr>
                <w:rFonts w:cs="Arial"/>
              </w:rPr>
              <w:t xml:space="preserve"> </w:t>
            </w:r>
            <w:r w:rsidRPr="00330C4D">
              <w:rPr>
                <w:rFonts w:cs="Arial"/>
              </w:rPr>
              <w:t>rezultaty</w:t>
            </w:r>
            <w:r>
              <w:rPr>
                <w:rFonts w:cs="Arial"/>
              </w:rPr>
              <w:t xml:space="preserve"> </w:t>
            </w:r>
            <w:r w:rsidRPr="00330C4D">
              <w:rPr>
                <w:rFonts w:cs="Arial"/>
              </w:rPr>
              <w:t>i efekty</w:t>
            </w:r>
            <w:r>
              <w:rPr>
                <w:rFonts w:cs="Arial"/>
              </w:rPr>
              <w:t xml:space="preserve"> </w:t>
            </w:r>
            <w:r w:rsidRPr="00330C4D">
              <w:rPr>
                <w:rFonts w:cs="Arial"/>
              </w:rPr>
              <w:t>przyczyniają się do realizacji Priorytetów określonych w Programie (p.</w:t>
            </w:r>
            <w:r>
              <w:rPr>
                <w:rFonts w:cs="Arial"/>
              </w:rPr>
              <w:t xml:space="preserve"> </w:t>
            </w:r>
            <w:r w:rsidRPr="00330C4D">
              <w:rPr>
                <w:rFonts w:cs="Arial"/>
              </w:rPr>
              <w:t>1.3. niniejszego Podręcznika)</w:t>
            </w:r>
            <w:r>
              <w:rPr>
                <w:rFonts w:cs="Arial"/>
              </w:rPr>
              <w:t>.</w:t>
            </w:r>
          </w:p>
          <w:p w:rsidR="006E0C97" w:rsidRDefault="006E0C97" w:rsidP="004F0F54">
            <w:pPr>
              <w:jc w:val="both"/>
              <w:rPr>
                <w:rFonts w:cs="Arial"/>
              </w:rPr>
            </w:pPr>
            <w:r w:rsidRPr="004454E7">
              <w:rPr>
                <w:rFonts w:cs="Arial"/>
              </w:rPr>
              <w:t>W odniesieniu do przedstawionej sytuacji dwa aspekty wspomnianej definicji wydają się szczególnie ważne:</w:t>
            </w:r>
          </w:p>
          <w:p w:rsidR="006E0C97" w:rsidRPr="004454E7" w:rsidRDefault="006E0C97" w:rsidP="004F0F54">
            <w:pPr>
              <w:jc w:val="both"/>
              <w:rPr>
                <w:rFonts w:cs="Arial"/>
              </w:rPr>
            </w:pPr>
            <w:r w:rsidRPr="004454E7">
              <w:rPr>
                <w:rFonts w:cs="Arial"/>
              </w:rPr>
              <w:t>• powiązanie działań w ramach projektu;</w:t>
            </w:r>
          </w:p>
          <w:p w:rsidR="006E0C97" w:rsidRPr="004454E7" w:rsidRDefault="006E0C97" w:rsidP="004F0F54">
            <w:pPr>
              <w:jc w:val="both"/>
              <w:rPr>
                <w:rFonts w:cs="Arial"/>
              </w:rPr>
            </w:pPr>
            <w:r w:rsidRPr="004454E7">
              <w:rPr>
                <w:rFonts w:cs="Arial"/>
              </w:rPr>
              <w:t>• oraz ich odniesienie do przyjętych celów i priorytetów Programu.</w:t>
            </w:r>
          </w:p>
          <w:p w:rsidR="006E0C97" w:rsidRPr="004454E7" w:rsidRDefault="006E0C97" w:rsidP="004F0F54">
            <w:pPr>
              <w:jc w:val="both"/>
              <w:rPr>
                <w:rFonts w:cs="Arial"/>
              </w:rPr>
            </w:pPr>
            <w:r w:rsidRPr="004454E7">
              <w:rPr>
                <w:rFonts w:cs="Arial"/>
              </w:rPr>
              <w:t xml:space="preserve">Wnioskodawca powinien należycie uzasadnić i wykazać, że są to dwa odrębne </w:t>
            </w:r>
            <w:proofErr w:type="spellStart"/>
            <w:r w:rsidRPr="004454E7">
              <w:rPr>
                <w:rFonts w:cs="Arial"/>
              </w:rPr>
              <w:t>projekty</w:t>
            </w:r>
            <w:proofErr w:type="spellEnd"/>
            <w:r w:rsidRPr="004454E7">
              <w:rPr>
                <w:rFonts w:cs="Arial"/>
              </w:rPr>
              <w:t xml:space="preserve"> (merytorycznie, organizacyjnie, funkcjonalnie oddzielone i niezależne od siebie), a nie dwie części jednego dużego projektu złożonego przez jedną instytucję, która została sztucznie podzielona na dwa </w:t>
            </w:r>
            <w:proofErr w:type="spellStart"/>
            <w:r w:rsidRPr="004454E7">
              <w:rPr>
                <w:rFonts w:cs="Arial"/>
              </w:rPr>
              <w:t>projekty</w:t>
            </w:r>
            <w:proofErr w:type="spellEnd"/>
            <w:r w:rsidRPr="004454E7">
              <w:rPr>
                <w:rFonts w:cs="Arial"/>
              </w:rPr>
              <w:t>.</w:t>
            </w:r>
          </w:p>
          <w:p w:rsidR="006E0C97" w:rsidRPr="004454E7" w:rsidRDefault="006E0C97" w:rsidP="004F0F54">
            <w:pPr>
              <w:jc w:val="both"/>
              <w:rPr>
                <w:rFonts w:cs="Arial"/>
              </w:rPr>
            </w:pPr>
            <w:r w:rsidRPr="004454E7">
              <w:rPr>
                <w:rFonts w:cs="Arial"/>
              </w:rPr>
              <w:t xml:space="preserve">Logika każdego projektu musi zostać zachowana i nie może być żadnych wątpliwości co do możliwości osiągnięcia założonych celów i priorytetów Programu, szczególnie w przypadku, gdy dotacja zostanie przyznana tylko na jeden </w:t>
            </w:r>
            <w:r>
              <w:rPr>
                <w:rFonts w:cs="Arial"/>
              </w:rPr>
              <w:t xml:space="preserve">z tych </w:t>
            </w:r>
            <w:r w:rsidRPr="004454E7">
              <w:rPr>
                <w:rFonts w:cs="Arial"/>
              </w:rPr>
              <w:t>projekt</w:t>
            </w:r>
            <w:r>
              <w:rPr>
                <w:rFonts w:cs="Arial"/>
              </w:rPr>
              <w:t>ów</w:t>
            </w:r>
            <w:r w:rsidRPr="004454E7">
              <w:rPr>
                <w:rFonts w:cs="Arial"/>
              </w:rPr>
              <w:t>.</w:t>
            </w:r>
          </w:p>
        </w:tc>
      </w:tr>
      <w:tr w:rsidR="006E0C97" w:rsidRPr="001038B8" w:rsidTr="009701FD">
        <w:trPr>
          <w:trHeight w:val="618"/>
        </w:trPr>
        <w:tc>
          <w:tcPr>
            <w:tcW w:w="10144" w:type="dxa"/>
            <w:shd w:val="clear" w:color="auto" w:fill="D9D9D9" w:themeFill="background1" w:themeFillShade="D9"/>
          </w:tcPr>
          <w:p w:rsidR="006E0C97" w:rsidRPr="007C350A" w:rsidRDefault="006E0C97" w:rsidP="004F0F54">
            <w:pPr>
              <w:jc w:val="both"/>
              <w:rPr>
                <w:rFonts w:cs="Arial"/>
                <w:b/>
              </w:rPr>
            </w:pPr>
            <w:r w:rsidRPr="007C350A">
              <w:rPr>
                <w:b/>
              </w:rPr>
              <w:t xml:space="preserve">9. </w:t>
            </w:r>
            <w:r w:rsidRPr="007C350A">
              <w:rPr>
                <w:rFonts w:cs="Arial"/>
                <w:b/>
              </w:rPr>
              <w:t>Jaki kurs walutowy powinien zostać użyty przy obliczaniu obrotu beneficjenta w euro (9.3/10.3 Zdolności finansowe w AF)?</w:t>
            </w:r>
          </w:p>
        </w:tc>
      </w:tr>
      <w:tr w:rsidR="006E0C97" w:rsidRPr="001038B8" w:rsidTr="00F57789">
        <w:trPr>
          <w:trHeight w:val="257"/>
        </w:trPr>
        <w:tc>
          <w:tcPr>
            <w:tcW w:w="10144" w:type="dxa"/>
            <w:tcBorders>
              <w:bottom w:val="single" w:sz="4" w:space="0" w:color="auto"/>
            </w:tcBorders>
          </w:tcPr>
          <w:p w:rsidR="006E0C97" w:rsidRPr="007C350A" w:rsidRDefault="006E0C97" w:rsidP="004F0F54">
            <w:pPr>
              <w:pStyle w:val="NormalnyWeb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7C350A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Zaleca się stosowanie odpowiednich średnich rocznych kursów wymiany walut publikowanych na stronie </w:t>
            </w:r>
            <w:hyperlink r:id="rId8" w:history="1">
              <w:r w:rsidRPr="007C350A">
                <w:rPr>
                  <w:rStyle w:val="Hipercze"/>
                  <w:rFonts w:ascii="Calibri" w:hAnsi="Calibri" w:cs="Arial"/>
                  <w:bCs/>
                  <w:iCs/>
                  <w:sz w:val="22"/>
                  <w:szCs w:val="22"/>
                </w:rPr>
                <w:t>http://ec.europa.eu/budget/contracts_grants/info_contracts/inforeuro/index_en.cfm</w:t>
              </w:r>
            </w:hyperlink>
            <w:r w:rsidRPr="007C350A">
              <w:rPr>
                <w:rFonts w:ascii="Calibri" w:hAnsi="Calibri" w:cs="Arial"/>
                <w:bCs/>
                <w:iCs/>
                <w:sz w:val="22"/>
                <w:szCs w:val="22"/>
              </w:rPr>
              <w:t>.</w:t>
            </w:r>
          </w:p>
          <w:p w:rsidR="006E0C97" w:rsidRPr="007C350A" w:rsidRDefault="006E0C97" w:rsidP="004F0F54">
            <w:pPr>
              <w:spacing w:after="200" w:line="276" w:lineRule="auto"/>
              <w:jc w:val="both"/>
              <w:rPr>
                <w:rFonts w:cs="Arial"/>
              </w:rPr>
            </w:pPr>
            <w:r w:rsidRPr="007C350A">
              <w:rPr>
                <w:rFonts w:cs="Arial"/>
              </w:rPr>
              <w:t xml:space="preserve">W przypadku raportów okresowych/końcowych wskazanych w Podręczniku Programu, część II – realizacja projektów p. 5.1.2, wszelkie przeliczenia na euro kosztów rzeczywistych ponoszonych w innych walutach dokonuje się według stawki opublikowanej w </w:t>
            </w:r>
            <w:proofErr w:type="spellStart"/>
            <w:r w:rsidRPr="007C350A">
              <w:rPr>
                <w:rFonts w:cs="Arial"/>
              </w:rPr>
              <w:t>InforEuro</w:t>
            </w:r>
            <w:proofErr w:type="spellEnd"/>
            <w:r w:rsidRPr="007C350A">
              <w:rPr>
                <w:rFonts w:cs="Arial"/>
              </w:rPr>
              <w:t xml:space="preserve"> dla miesiąca, w którym opłacono wydatek.</w:t>
            </w:r>
          </w:p>
          <w:p w:rsidR="006E0C97" w:rsidRPr="007C350A" w:rsidRDefault="006E0C97" w:rsidP="004F0F54">
            <w:pPr>
              <w:jc w:val="both"/>
              <w:rPr>
                <w:rFonts w:cs="Arial"/>
              </w:rPr>
            </w:pPr>
            <w:r w:rsidRPr="007C350A">
              <w:rPr>
                <w:rFonts w:cs="Arial"/>
              </w:rPr>
              <w:t xml:space="preserve">Informacje o kursach wymiany znajdują się na stronie internetowej: </w:t>
            </w:r>
          </w:p>
          <w:p w:rsidR="006E0C97" w:rsidRPr="007C350A" w:rsidRDefault="009730D1" w:rsidP="004F0F54">
            <w:pPr>
              <w:jc w:val="both"/>
              <w:rPr>
                <w:rFonts w:cs="Arial"/>
              </w:rPr>
            </w:pPr>
            <w:hyperlink r:id="rId9" w:history="1">
              <w:r w:rsidR="006E0C97" w:rsidRPr="007C350A">
                <w:rPr>
                  <w:rStyle w:val="Hipercze"/>
                  <w:rFonts w:cs="Arial"/>
                </w:rPr>
                <w:t>http://ec.europa.eu/budget/contracts_grants/info_contracts/inforeuro/index_en.cfm</w:t>
              </w:r>
            </w:hyperlink>
            <w:r w:rsidR="006E0C97" w:rsidRPr="007C350A">
              <w:rPr>
                <w:rFonts w:cs="Arial"/>
              </w:rPr>
              <w:t>.</w:t>
            </w:r>
          </w:p>
          <w:p w:rsidR="006E0C97" w:rsidRPr="007C350A" w:rsidRDefault="006E0C97" w:rsidP="004F0F54">
            <w:pPr>
              <w:jc w:val="both"/>
              <w:rPr>
                <w:rFonts w:cs="Arial"/>
              </w:rPr>
            </w:pPr>
          </w:p>
        </w:tc>
      </w:tr>
      <w:tr w:rsidR="006E0C97" w:rsidRPr="001038B8" w:rsidTr="00F57789">
        <w:trPr>
          <w:trHeight w:val="257"/>
        </w:trPr>
        <w:tc>
          <w:tcPr>
            <w:tcW w:w="10144" w:type="dxa"/>
            <w:shd w:val="clear" w:color="auto" w:fill="D9D9D9" w:themeFill="background1" w:themeFillShade="D9"/>
          </w:tcPr>
          <w:p w:rsidR="006E0C97" w:rsidRPr="00B41362" w:rsidRDefault="006E0C97" w:rsidP="004F0F54">
            <w:pPr>
              <w:jc w:val="both"/>
              <w:rPr>
                <w:rFonts w:cs="Arial"/>
                <w:b/>
              </w:rPr>
            </w:pPr>
            <w:r w:rsidRPr="00B41362">
              <w:rPr>
                <w:rFonts w:cs="Arial"/>
                <w:b/>
              </w:rPr>
              <w:t xml:space="preserve">10. Jaką dokumentację powinien przedstawić beneficjent rosyjski, jeżeli zatwierdzenie dokumentacji technicznej nie jest wymagane przez </w:t>
            </w:r>
            <w:r>
              <w:rPr>
                <w:rFonts w:cs="Arial"/>
                <w:b/>
              </w:rPr>
              <w:t>prawo</w:t>
            </w:r>
            <w:r w:rsidRPr="00B41362">
              <w:rPr>
                <w:rFonts w:cs="Arial"/>
                <w:b/>
              </w:rPr>
              <w:t xml:space="preserve"> krajowe</w:t>
            </w:r>
            <w:r>
              <w:rPr>
                <w:rFonts w:cs="Arial"/>
                <w:b/>
              </w:rPr>
              <w:t>?</w:t>
            </w:r>
          </w:p>
        </w:tc>
      </w:tr>
      <w:tr w:rsidR="006E0C97" w:rsidRPr="001038B8" w:rsidTr="009701FD">
        <w:trPr>
          <w:trHeight w:val="257"/>
        </w:trPr>
        <w:tc>
          <w:tcPr>
            <w:tcW w:w="10144" w:type="dxa"/>
            <w:tcBorders>
              <w:bottom w:val="single" w:sz="4" w:space="0" w:color="auto"/>
            </w:tcBorders>
          </w:tcPr>
          <w:p w:rsidR="006E0C97" w:rsidRPr="00680543" w:rsidRDefault="006E0C97" w:rsidP="004F0F54">
            <w:pPr>
              <w:jc w:val="both"/>
              <w:rPr>
                <w:rFonts w:cs="Arial"/>
              </w:rPr>
            </w:pPr>
            <w:r w:rsidRPr="00680543">
              <w:rPr>
                <w:rFonts w:cs="Arial"/>
              </w:rPr>
              <w:t xml:space="preserve">Załącznik A15, który </w:t>
            </w:r>
            <w:r>
              <w:rPr>
                <w:rFonts w:cs="Arial"/>
              </w:rPr>
              <w:t>powinni</w:t>
            </w:r>
            <w:r w:rsidRPr="00680543">
              <w:rPr>
                <w:rFonts w:cs="Arial"/>
              </w:rPr>
              <w:t xml:space="preserve"> przedstawić rosyjscy beneficjenci, zawiera: 1) notę wyjaśniającą do </w:t>
            </w:r>
            <w:r>
              <w:rPr>
                <w:rFonts w:cs="Arial"/>
              </w:rPr>
              <w:t>aktualnej</w:t>
            </w:r>
            <w:r w:rsidRPr="00680543">
              <w:rPr>
                <w:rFonts w:cs="Arial"/>
              </w:rPr>
              <w:t xml:space="preserve"> dokumentacji technicznej; 2) akceptacj</w:t>
            </w:r>
            <w:r>
              <w:rPr>
                <w:rFonts w:cs="Arial"/>
              </w:rPr>
              <w:t>ę</w:t>
            </w:r>
            <w:r w:rsidRPr="00680543">
              <w:rPr>
                <w:rFonts w:cs="Arial"/>
              </w:rPr>
              <w:t xml:space="preserve"> dokumentacji technicznej przez odpowiednie instytucje; 3) dokumentację szacowania kosztów zatwierdzoną przez odpowiednie instytucje. W przypadku, gdy </w:t>
            </w:r>
            <w:r w:rsidRPr="00680543">
              <w:rPr>
                <w:rFonts w:cs="Arial"/>
              </w:rPr>
              <w:lastRenderedPageBreak/>
              <w:t>prawodawstwo krajowe nie wymaga akceptacji dokumentacji technicznej przez odpowiednie instytucje (</w:t>
            </w:r>
            <w:proofErr w:type="spellStart"/>
            <w:r w:rsidRPr="00680543">
              <w:rPr>
                <w:rFonts w:cs="Arial"/>
              </w:rPr>
              <w:t>punkt</w:t>
            </w:r>
            <w:proofErr w:type="spellEnd"/>
            <w:r w:rsidRPr="00680543">
              <w:rPr>
                <w:rFonts w:cs="Arial"/>
              </w:rPr>
              <w:t xml:space="preserve"> 2), beneficjent może zamiast tego przesłać pismo skierowane do WST (w języku angielskim) wraz </w:t>
            </w:r>
            <w:r>
              <w:rPr>
                <w:rFonts w:cs="Arial"/>
              </w:rPr>
              <w:br/>
            </w:r>
            <w:r w:rsidRPr="00680543">
              <w:rPr>
                <w:rFonts w:cs="Arial"/>
              </w:rPr>
              <w:t>z wyjaśnieniem i odniesieniem do odpowiedniego ustawodawstwa krajowego, na podstawie którego jest ono zwolnione od uzyskania zatwierdzenia dokumentacji technicznej przez uprawnione organy</w:t>
            </w:r>
            <w:r>
              <w:rPr>
                <w:rFonts w:cs="Arial"/>
              </w:rPr>
              <w:t>.</w:t>
            </w:r>
            <w:r w:rsidRPr="00680543">
              <w:rPr>
                <w:rFonts w:cs="Arial"/>
              </w:rPr>
              <w:t xml:space="preserve"> </w:t>
            </w:r>
          </w:p>
        </w:tc>
      </w:tr>
      <w:tr w:rsidR="006E0C97" w:rsidRPr="001038B8" w:rsidTr="009701FD">
        <w:trPr>
          <w:trHeight w:val="611"/>
        </w:trPr>
        <w:tc>
          <w:tcPr>
            <w:tcW w:w="10144" w:type="dxa"/>
            <w:shd w:val="clear" w:color="auto" w:fill="D9D9D9" w:themeFill="background1" w:themeFillShade="D9"/>
          </w:tcPr>
          <w:p w:rsidR="006E0C97" w:rsidRPr="00680543" w:rsidRDefault="006E0C97" w:rsidP="004F0F54">
            <w:pPr>
              <w:jc w:val="both"/>
              <w:rPr>
                <w:rFonts w:cs="Arial"/>
                <w:b/>
              </w:rPr>
            </w:pPr>
            <w:r w:rsidRPr="00680543">
              <w:rPr>
                <w:rFonts w:cs="Arial"/>
                <w:b/>
              </w:rPr>
              <w:lastRenderedPageBreak/>
              <w:t>11.</w:t>
            </w:r>
            <w:r w:rsidRPr="00680543">
              <w:rPr>
                <w:rFonts w:cs="Arial"/>
              </w:rPr>
              <w:t xml:space="preserve"> </w:t>
            </w:r>
            <w:r w:rsidRPr="00680543">
              <w:rPr>
                <w:rFonts w:cs="Arial"/>
                <w:b/>
              </w:rPr>
              <w:t xml:space="preserve">Jak wypełnić generator </w:t>
            </w:r>
            <w:proofErr w:type="spellStart"/>
            <w:r w:rsidRPr="00680543">
              <w:rPr>
                <w:rFonts w:cs="Arial"/>
                <w:b/>
              </w:rPr>
              <w:t>on</w:t>
            </w:r>
            <w:r w:rsidR="00BB323B">
              <w:rPr>
                <w:rFonts w:cs="Arial"/>
                <w:b/>
              </w:rPr>
              <w:t>-</w:t>
            </w:r>
            <w:r w:rsidRPr="00680543">
              <w:rPr>
                <w:rFonts w:cs="Arial"/>
                <w:b/>
              </w:rPr>
              <w:t>line</w:t>
            </w:r>
            <w:proofErr w:type="spellEnd"/>
            <w:r w:rsidRPr="00680543">
              <w:rPr>
                <w:rFonts w:cs="Arial"/>
                <w:b/>
              </w:rPr>
              <w:t xml:space="preserve"> w przypadku, gdy istnieje kilka elementów infrastruktury o wartości poniżej 1 miliona euro?</w:t>
            </w:r>
          </w:p>
        </w:tc>
      </w:tr>
      <w:tr w:rsidR="006E0C97" w:rsidRPr="001038B8" w:rsidTr="009701FD">
        <w:trPr>
          <w:trHeight w:val="257"/>
        </w:trPr>
        <w:tc>
          <w:tcPr>
            <w:tcW w:w="10144" w:type="dxa"/>
            <w:tcBorders>
              <w:bottom w:val="single" w:sz="4" w:space="0" w:color="auto"/>
            </w:tcBorders>
          </w:tcPr>
          <w:p w:rsidR="006E0C97" w:rsidRPr="00680543" w:rsidRDefault="006E0C97" w:rsidP="004F0F54">
            <w:pPr>
              <w:jc w:val="both"/>
              <w:rPr>
                <w:rFonts w:cs="Arial"/>
              </w:rPr>
            </w:pPr>
            <w:r w:rsidRPr="00680543">
              <w:rPr>
                <w:rFonts w:cs="Arial"/>
              </w:rPr>
              <w:t>Po umieszczeniu informacji o</w:t>
            </w:r>
            <w:r>
              <w:rPr>
                <w:rFonts w:cs="Arial"/>
              </w:rPr>
              <w:t xml:space="preserve"> wartościach poszczególnych</w:t>
            </w:r>
            <w:r w:rsidRPr="00680543">
              <w:rPr>
                <w:rFonts w:cs="Arial"/>
              </w:rPr>
              <w:t xml:space="preserve"> komponent</w:t>
            </w:r>
            <w:r>
              <w:rPr>
                <w:rFonts w:cs="Arial"/>
              </w:rPr>
              <w:t>ów</w:t>
            </w:r>
            <w:r w:rsidRPr="00680543">
              <w:rPr>
                <w:rFonts w:cs="Arial"/>
              </w:rPr>
              <w:t xml:space="preserve"> infrastrukturalnych w budże</w:t>
            </w:r>
            <w:r>
              <w:rPr>
                <w:rFonts w:cs="Arial"/>
              </w:rPr>
              <w:t>cie</w:t>
            </w:r>
            <w:r w:rsidRPr="00680543">
              <w:rPr>
                <w:rFonts w:cs="Arial"/>
              </w:rPr>
              <w:t xml:space="preserve">, generator </w:t>
            </w:r>
            <w:proofErr w:type="spellStart"/>
            <w:r w:rsidRPr="00680543">
              <w:rPr>
                <w:rFonts w:cs="Arial"/>
              </w:rPr>
              <w:t>on</w:t>
            </w:r>
            <w:r w:rsidR="00BB323B">
              <w:rPr>
                <w:rFonts w:cs="Arial"/>
              </w:rPr>
              <w:t>-</w:t>
            </w:r>
            <w:r w:rsidRPr="00680543">
              <w:rPr>
                <w:rFonts w:cs="Arial"/>
              </w:rPr>
              <w:t>line</w:t>
            </w:r>
            <w:proofErr w:type="spellEnd"/>
            <w:r w:rsidRPr="00680543">
              <w:rPr>
                <w:rFonts w:cs="Arial"/>
              </w:rPr>
              <w:t xml:space="preserve"> utworzy odpowiednią liczbę dodatkowych linii w sekcji 3.5 Krótk</w:t>
            </w:r>
            <w:r>
              <w:rPr>
                <w:rFonts w:cs="Arial"/>
              </w:rPr>
              <w:t>ie</w:t>
            </w:r>
            <w:r w:rsidRPr="0068054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studium</w:t>
            </w:r>
            <w:r w:rsidRPr="00680543">
              <w:rPr>
                <w:rFonts w:cs="Arial"/>
              </w:rPr>
              <w:t xml:space="preserve"> wykonalności,</w:t>
            </w:r>
            <w:r w:rsidR="007C350A">
              <w:rPr>
                <w:rFonts w:cs="Arial"/>
              </w:rPr>
              <w:t xml:space="preserve"> </w:t>
            </w:r>
            <w:r w:rsidR="007C350A">
              <w:rPr>
                <w:rFonts w:cs="Arial"/>
              </w:rPr>
              <w:br/>
              <w:t>tak</w:t>
            </w:r>
            <w:r w:rsidRPr="00680543">
              <w:rPr>
                <w:rFonts w:cs="Arial"/>
              </w:rPr>
              <w:t xml:space="preserve"> aby można było opisa</w:t>
            </w:r>
            <w:r>
              <w:rPr>
                <w:rFonts w:cs="Arial"/>
              </w:rPr>
              <w:t xml:space="preserve">ć każdy komponent infrastrukturalny </w:t>
            </w:r>
            <w:r w:rsidRPr="00680543">
              <w:rPr>
                <w:rFonts w:cs="Arial"/>
              </w:rPr>
              <w:t>oddzielnie.</w:t>
            </w:r>
          </w:p>
        </w:tc>
      </w:tr>
      <w:tr w:rsidR="006E0C97" w:rsidRPr="001038B8" w:rsidTr="009701FD">
        <w:trPr>
          <w:trHeight w:val="257"/>
        </w:trPr>
        <w:tc>
          <w:tcPr>
            <w:tcW w:w="10144" w:type="dxa"/>
            <w:shd w:val="clear" w:color="auto" w:fill="D9D9D9" w:themeFill="background1" w:themeFillShade="D9"/>
          </w:tcPr>
          <w:p w:rsidR="006E0C97" w:rsidRPr="003E28E0" w:rsidRDefault="006E0C97" w:rsidP="004F0F54">
            <w:pPr>
              <w:jc w:val="both"/>
              <w:rPr>
                <w:rFonts w:cs="Arial"/>
                <w:b/>
              </w:rPr>
            </w:pPr>
            <w:r w:rsidRPr="003E28E0">
              <w:rPr>
                <w:rFonts w:cs="Arial"/>
                <w:b/>
              </w:rPr>
              <w:t>12.</w:t>
            </w:r>
            <w:r w:rsidRPr="003E28E0">
              <w:rPr>
                <w:rFonts w:cs="Arial"/>
              </w:rPr>
              <w:t xml:space="preserve"> </w:t>
            </w:r>
            <w:r w:rsidRPr="003E28E0">
              <w:rPr>
                <w:rFonts w:cs="Arial"/>
                <w:b/>
              </w:rPr>
              <w:t xml:space="preserve">Czy umowy </w:t>
            </w:r>
            <w:r>
              <w:rPr>
                <w:rFonts w:cs="Arial"/>
                <w:b/>
              </w:rPr>
              <w:t xml:space="preserve">z </w:t>
            </w:r>
            <w:r w:rsidRPr="007C350A">
              <w:rPr>
                <w:rFonts w:cs="Arial"/>
                <w:b/>
              </w:rPr>
              <w:t xml:space="preserve">wykonawcami </w:t>
            </w:r>
            <w:r w:rsidRPr="003E28E0">
              <w:rPr>
                <w:rFonts w:cs="Arial"/>
                <w:b/>
              </w:rPr>
              <w:t>mogą być zawierane przed rozpoczęciem okresu realizacji projektu?</w:t>
            </w:r>
          </w:p>
        </w:tc>
      </w:tr>
      <w:tr w:rsidR="006E0C97" w:rsidRPr="001038B8" w:rsidTr="009701FD">
        <w:trPr>
          <w:trHeight w:val="257"/>
        </w:trPr>
        <w:tc>
          <w:tcPr>
            <w:tcW w:w="10144" w:type="dxa"/>
            <w:tcBorders>
              <w:bottom w:val="single" w:sz="4" w:space="0" w:color="auto"/>
            </w:tcBorders>
          </w:tcPr>
          <w:p w:rsidR="006E0C97" w:rsidRPr="003E28E0" w:rsidRDefault="00BB323B" w:rsidP="00BB323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 do zasady,</w:t>
            </w:r>
            <w:r w:rsidR="006E0C97" w:rsidRPr="003E28E0">
              <w:rPr>
                <w:rFonts w:cs="Arial"/>
              </w:rPr>
              <w:t xml:space="preserve"> </w:t>
            </w:r>
            <w:r w:rsidR="006E0C97">
              <w:rPr>
                <w:rFonts w:cs="Arial"/>
              </w:rPr>
              <w:t xml:space="preserve">można rozpocząć </w:t>
            </w:r>
            <w:r w:rsidR="006E0C97" w:rsidRPr="003E28E0">
              <w:rPr>
                <w:rFonts w:cs="Arial"/>
              </w:rPr>
              <w:t xml:space="preserve">procedury udzielania zamówień, a umowy mogą być zawierane przez beneficjentów przed rozpoczęciem okresu realizacji projektu (więcej informacji znajduje się w </w:t>
            </w:r>
            <w:r>
              <w:rPr>
                <w:rFonts w:cs="Arial"/>
              </w:rPr>
              <w:t xml:space="preserve">pkt. </w:t>
            </w:r>
            <w:r w:rsidR="006E0C97" w:rsidRPr="003E28E0">
              <w:rPr>
                <w:rFonts w:cs="Arial"/>
              </w:rPr>
              <w:t xml:space="preserve">6.2.1 Ogólne </w:t>
            </w:r>
            <w:r w:rsidR="006E0C97" w:rsidRPr="00EA5084">
              <w:rPr>
                <w:rFonts w:cs="Arial"/>
              </w:rPr>
              <w:t xml:space="preserve">zasady dotyczące </w:t>
            </w:r>
            <w:proofErr w:type="spellStart"/>
            <w:r w:rsidR="006E0C97" w:rsidRPr="00EA5084">
              <w:rPr>
                <w:rFonts w:cs="Arial"/>
              </w:rPr>
              <w:t>kwalifikowalności</w:t>
            </w:r>
            <w:proofErr w:type="spellEnd"/>
            <w:r w:rsidR="006E0C97" w:rsidRPr="00EA5084">
              <w:rPr>
                <w:rFonts w:cs="Arial"/>
              </w:rPr>
              <w:t xml:space="preserve"> kosztów w Podręczniku Programu Część I - Wnioskodawca). Jednak, aby wydatki zostały uznane za </w:t>
            </w:r>
            <w:proofErr w:type="spellStart"/>
            <w:r w:rsidR="006E0C97" w:rsidRPr="00EA5084">
              <w:rPr>
                <w:rFonts w:cs="Arial"/>
              </w:rPr>
              <w:t>kwalifikowalne</w:t>
            </w:r>
            <w:proofErr w:type="spellEnd"/>
            <w:r w:rsidR="006E0C97" w:rsidRPr="00EA5084">
              <w:rPr>
                <w:rFonts w:cs="Arial"/>
              </w:rPr>
              <w:t xml:space="preserve">, wykonanie działań oraz </w:t>
            </w:r>
            <w:r w:rsidR="007C350A">
              <w:rPr>
                <w:rFonts w:cs="Arial"/>
              </w:rPr>
              <w:t xml:space="preserve">opłacenie </w:t>
            </w:r>
            <w:r w:rsidR="006E0C97" w:rsidRPr="00EA5084">
              <w:rPr>
                <w:rFonts w:cs="Arial"/>
              </w:rPr>
              <w:t xml:space="preserve">kosztu musi nastąpić </w:t>
            </w:r>
            <w:r w:rsidR="007C350A">
              <w:rPr>
                <w:rFonts w:cs="Arial"/>
              </w:rPr>
              <w:br/>
            </w:r>
            <w:r w:rsidR="006E0C97" w:rsidRPr="00EA5084">
              <w:rPr>
                <w:rFonts w:cs="Arial"/>
              </w:rPr>
              <w:t>w okresie realizacji projektu</w:t>
            </w:r>
            <w:r w:rsidR="006E0C97" w:rsidRPr="003E28E0">
              <w:rPr>
                <w:rFonts w:cs="Arial"/>
              </w:rPr>
              <w:t xml:space="preserve"> (z wyjątkiem kosztów związanych z przygotowaniem sprawozdań końcowych </w:t>
            </w:r>
            <w:r w:rsidR="007C350A">
              <w:rPr>
                <w:rFonts w:cs="Arial"/>
              </w:rPr>
              <w:br/>
            </w:r>
            <w:r w:rsidR="006E0C97" w:rsidRPr="003E28E0">
              <w:rPr>
                <w:rFonts w:cs="Arial"/>
              </w:rPr>
              <w:t>i kosztów przygotowawczych opisany</w:t>
            </w:r>
            <w:r w:rsidR="006E0C97">
              <w:rPr>
                <w:rFonts w:cs="Arial"/>
              </w:rPr>
              <w:t>ch w Podręcznik</w:t>
            </w:r>
            <w:r>
              <w:rPr>
                <w:rFonts w:cs="Arial"/>
              </w:rPr>
              <w:t>u</w:t>
            </w:r>
            <w:r w:rsidR="006E0C97">
              <w:rPr>
                <w:rFonts w:cs="Arial"/>
              </w:rPr>
              <w:t xml:space="preserve"> Programu</w:t>
            </w:r>
            <w:r>
              <w:rPr>
                <w:rFonts w:cs="Arial"/>
              </w:rPr>
              <w:t xml:space="preserve"> Część I - Wnioskodawca, pkt.</w:t>
            </w:r>
            <w:r w:rsidR="006E0C97" w:rsidRPr="003E28E0">
              <w:rPr>
                <w:rFonts w:cs="Arial"/>
              </w:rPr>
              <w:t xml:space="preserve"> 6.2.2).</w:t>
            </w:r>
          </w:p>
        </w:tc>
      </w:tr>
      <w:tr w:rsidR="006E0C97" w:rsidRPr="001038B8" w:rsidTr="009701FD">
        <w:trPr>
          <w:trHeight w:val="921"/>
        </w:trPr>
        <w:tc>
          <w:tcPr>
            <w:tcW w:w="10144" w:type="dxa"/>
            <w:shd w:val="clear" w:color="auto" w:fill="D9D9D9" w:themeFill="background1" w:themeFillShade="D9"/>
          </w:tcPr>
          <w:p w:rsidR="006E0C97" w:rsidRPr="00CB54E4" w:rsidRDefault="006E0C97" w:rsidP="004F0F54">
            <w:pPr>
              <w:jc w:val="both"/>
              <w:rPr>
                <w:rFonts w:cs="Arial"/>
                <w:b/>
              </w:rPr>
            </w:pPr>
            <w:r w:rsidRPr="00CB54E4">
              <w:rPr>
                <w:rFonts w:cs="Arial"/>
                <w:b/>
              </w:rPr>
              <w:t>13.</w:t>
            </w:r>
            <w:r w:rsidRPr="00CB54E4">
              <w:rPr>
                <w:rFonts w:cs="Arial"/>
              </w:rPr>
              <w:t xml:space="preserve"> </w:t>
            </w:r>
            <w:r w:rsidRPr="00CB54E4">
              <w:rPr>
                <w:rFonts w:cs="Arial"/>
                <w:b/>
              </w:rPr>
              <w:t xml:space="preserve">Ustawodawstwo </w:t>
            </w:r>
            <w:r>
              <w:rPr>
                <w:rFonts w:cs="Arial"/>
                <w:b/>
              </w:rPr>
              <w:t>k</w:t>
            </w:r>
            <w:r w:rsidRPr="00CB54E4">
              <w:rPr>
                <w:rFonts w:cs="Arial"/>
                <w:b/>
              </w:rPr>
              <w:t>tóre</w:t>
            </w:r>
            <w:r>
              <w:rPr>
                <w:rFonts w:cs="Arial"/>
                <w:b/>
              </w:rPr>
              <w:t>go kraju,</w:t>
            </w:r>
            <w:r w:rsidRPr="00CB54E4">
              <w:rPr>
                <w:rFonts w:cs="Arial"/>
                <w:b/>
              </w:rPr>
              <w:t xml:space="preserve"> w odniesieniu do wymogów dotyczących zamówień </w:t>
            </w:r>
            <w:r>
              <w:rPr>
                <w:rFonts w:cs="Arial"/>
                <w:b/>
              </w:rPr>
              <w:t xml:space="preserve">publicznych, </w:t>
            </w:r>
            <w:r w:rsidRPr="00CB54E4">
              <w:rPr>
                <w:rFonts w:cs="Arial"/>
                <w:b/>
              </w:rPr>
              <w:t xml:space="preserve">będzie miało pierwszeństwo w przypadku jakiejkolwiek sprzeczności między ustawodawstwem krajowym </w:t>
            </w:r>
            <w:r>
              <w:rPr>
                <w:rFonts w:cs="Arial"/>
                <w:b/>
              </w:rPr>
              <w:br/>
            </w:r>
            <w:r w:rsidRPr="00CB54E4">
              <w:rPr>
                <w:rFonts w:cs="Arial"/>
                <w:b/>
              </w:rPr>
              <w:t xml:space="preserve">a wymogami </w:t>
            </w:r>
            <w:r>
              <w:rPr>
                <w:rFonts w:cs="Arial"/>
                <w:b/>
              </w:rPr>
              <w:t>P</w:t>
            </w:r>
            <w:r w:rsidRPr="00CB54E4">
              <w:rPr>
                <w:rFonts w:cs="Arial"/>
                <w:b/>
              </w:rPr>
              <w:t xml:space="preserve">rogramu opartymi na przepisach UE i </w:t>
            </w:r>
            <w:r>
              <w:rPr>
                <w:rFonts w:cs="Arial"/>
                <w:b/>
              </w:rPr>
              <w:t>Porozumieniu</w:t>
            </w:r>
            <w:r w:rsidRPr="00CB54E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</w:t>
            </w:r>
            <w:r w:rsidRPr="00CB54E4">
              <w:rPr>
                <w:rFonts w:cs="Arial"/>
                <w:b/>
              </w:rPr>
              <w:t>inansow</w:t>
            </w:r>
            <w:r>
              <w:rPr>
                <w:rFonts w:cs="Arial"/>
                <w:b/>
              </w:rPr>
              <w:t>ym</w:t>
            </w:r>
            <w:r w:rsidRPr="00CB54E4">
              <w:rPr>
                <w:rFonts w:cs="Arial"/>
                <w:b/>
              </w:rPr>
              <w:t>?</w:t>
            </w:r>
          </w:p>
        </w:tc>
      </w:tr>
      <w:tr w:rsidR="006E0C97" w:rsidRPr="001038B8" w:rsidTr="009701FD">
        <w:trPr>
          <w:trHeight w:val="257"/>
        </w:trPr>
        <w:tc>
          <w:tcPr>
            <w:tcW w:w="10144" w:type="dxa"/>
            <w:tcBorders>
              <w:bottom w:val="single" w:sz="4" w:space="0" w:color="auto"/>
            </w:tcBorders>
          </w:tcPr>
          <w:p w:rsidR="006E0C97" w:rsidRPr="00CB54E4" w:rsidRDefault="006E0C97" w:rsidP="004F0F54">
            <w:pPr>
              <w:jc w:val="both"/>
              <w:rPr>
                <w:rFonts w:cs="Arial"/>
              </w:rPr>
            </w:pPr>
            <w:r w:rsidRPr="00CB54E4">
              <w:rPr>
                <w:rFonts w:cs="Arial"/>
              </w:rPr>
              <w:t xml:space="preserve">W przypadku jakiejkolwiek sprzeczności beneficjenci powinni stosować wymagania Programu </w:t>
            </w:r>
            <w:r>
              <w:rPr>
                <w:rFonts w:cs="Arial"/>
              </w:rPr>
              <w:t xml:space="preserve">bazujące </w:t>
            </w:r>
            <w:r w:rsidR="00BB323B">
              <w:rPr>
                <w:rFonts w:cs="Arial"/>
              </w:rPr>
              <w:br/>
            </w:r>
            <w:r>
              <w:rPr>
                <w:rFonts w:cs="Arial"/>
              </w:rPr>
              <w:t>na</w:t>
            </w:r>
            <w:r w:rsidRPr="00CB54E4">
              <w:rPr>
                <w:rFonts w:cs="Arial"/>
              </w:rPr>
              <w:t xml:space="preserve"> przepis</w:t>
            </w:r>
            <w:r>
              <w:rPr>
                <w:rFonts w:cs="Arial"/>
              </w:rPr>
              <w:t>ach UE i Porozumieniu</w:t>
            </w:r>
            <w:r w:rsidRPr="00CB54E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Finansowym</w:t>
            </w:r>
            <w:r w:rsidRPr="00CB54E4">
              <w:rPr>
                <w:rFonts w:cs="Arial"/>
              </w:rPr>
              <w:t xml:space="preserve"> podpisan</w:t>
            </w:r>
            <w:r>
              <w:rPr>
                <w:rFonts w:cs="Arial"/>
              </w:rPr>
              <w:t>ym</w:t>
            </w:r>
            <w:r w:rsidRPr="00CB54E4">
              <w:rPr>
                <w:rFonts w:cs="Arial"/>
              </w:rPr>
              <w:t xml:space="preserve"> między </w:t>
            </w:r>
            <w:r>
              <w:rPr>
                <w:rFonts w:cs="Arial"/>
              </w:rPr>
              <w:t>U</w:t>
            </w:r>
            <w:r w:rsidRPr="00CB54E4">
              <w:rPr>
                <w:rFonts w:cs="Arial"/>
              </w:rPr>
              <w:t>E, Rząd</w:t>
            </w:r>
            <w:r w:rsidR="00BB323B">
              <w:rPr>
                <w:rFonts w:cs="Arial"/>
              </w:rPr>
              <w:t>em</w:t>
            </w:r>
            <w:r w:rsidRPr="00CB54E4">
              <w:rPr>
                <w:rFonts w:cs="Arial"/>
              </w:rPr>
              <w:t xml:space="preserve"> Federacji Rosyjskiej i Rząd</w:t>
            </w:r>
            <w:r w:rsidR="00BB323B">
              <w:rPr>
                <w:rFonts w:cs="Arial"/>
              </w:rPr>
              <w:t>em</w:t>
            </w:r>
            <w:r w:rsidRPr="00CB54E4">
              <w:rPr>
                <w:rFonts w:cs="Arial"/>
              </w:rPr>
              <w:t xml:space="preserve"> Rzeczypospolitej Polskiej.</w:t>
            </w:r>
          </w:p>
        </w:tc>
      </w:tr>
      <w:tr w:rsidR="006E0C97" w:rsidRPr="001038B8" w:rsidTr="009701FD">
        <w:trPr>
          <w:trHeight w:val="322"/>
        </w:trPr>
        <w:tc>
          <w:tcPr>
            <w:tcW w:w="10144" w:type="dxa"/>
            <w:shd w:val="clear" w:color="auto" w:fill="D9D9D9" w:themeFill="background1" w:themeFillShade="D9"/>
          </w:tcPr>
          <w:p w:rsidR="006E0C97" w:rsidRPr="00DA4064" w:rsidRDefault="006E0C97" w:rsidP="004F0F54">
            <w:pPr>
              <w:jc w:val="both"/>
              <w:rPr>
                <w:rFonts w:cs="Arial"/>
                <w:b/>
              </w:rPr>
            </w:pPr>
            <w:r w:rsidRPr="00DA4064">
              <w:rPr>
                <w:rFonts w:cs="Arial"/>
                <w:b/>
              </w:rPr>
              <w:t>14.</w:t>
            </w:r>
            <w:r>
              <w:rPr>
                <w:rFonts w:cs="Arial"/>
                <w:b/>
              </w:rPr>
              <w:t xml:space="preserve"> </w:t>
            </w:r>
            <w:r w:rsidRPr="00DA4064">
              <w:rPr>
                <w:rFonts w:cs="Arial"/>
                <w:b/>
              </w:rPr>
              <w:t>Jaka jest różnica pomiędzy grupą docelową a beneficjentami końcowymi?</w:t>
            </w:r>
          </w:p>
        </w:tc>
      </w:tr>
      <w:tr w:rsidR="006E0C97" w:rsidRPr="001038B8" w:rsidTr="009701FD">
        <w:trPr>
          <w:trHeight w:val="257"/>
        </w:trPr>
        <w:tc>
          <w:tcPr>
            <w:tcW w:w="10144" w:type="dxa"/>
            <w:tcBorders>
              <w:bottom w:val="single" w:sz="4" w:space="0" w:color="auto"/>
            </w:tcBorders>
          </w:tcPr>
          <w:p w:rsidR="006E0C97" w:rsidRPr="00323EF7" w:rsidRDefault="006E0C97" w:rsidP="004F0F54">
            <w:pPr>
              <w:jc w:val="both"/>
              <w:rPr>
                <w:rFonts w:cs="Arial"/>
              </w:rPr>
            </w:pPr>
            <w:r w:rsidRPr="00323EF7">
              <w:rPr>
                <w:rFonts w:cs="Arial"/>
              </w:rPr>
              <w:t>Grupa (grupy) docelowa to osoby, grupy lub podmioty, na które projekt będzie</w:t>
            </w:r>
            <w:r>
              <w:rPr>
                <w:rFonts w:cs="Arial"/>
              </w:rPr>
              <w:t xml:space="preserve"> bezpośrednio pozytywnie wpływał</w:t>
            </w:r>
            <w:r w:rsidRPr="00323EF7">
              <w:rPr>
                <w:rFonts w:cs="Arial"/>
              </w:rPr>
              <w:t xml:space="preserve"> na poziomie celu projektu i </w:t>
            </w:r>
            <w:r>
              <w:rPr>
                <w:rFonts w:cs="Arial"/>
              </w:rPr>
              <w:t xml:space="preserve">jego </w:t>
            </w:r>
            <w:r w:rsidRPr="00323EF7">
              <w:rPr>
                <w:rFonts w:cs="Arial"/>
              </w:rPr>
              <w:t>wyników</w:t>
            </w:r>
            <w:r>
              <w:rPr>
                <w:rFonts w:cs="Arial"/>
              </w:rPr>
              <w:t>. Innymi słowy są to grupy</w:t>
            </w:r>
            <w:r w:rsidRPr="00323EF7">
              <w:rPr>
                <w:rFonts w:cs="Arial"/>
              </w:rPr>
              <w:t xml:space="preserve">/podmioty, które skorzystają na realizacji działań projektowych. Zwykle są to odbiorcy/uczestnicy działań projektowych </w:t>
            </w:r>
            <w:r>
              <w:rPr>
                <w:rFonts w:cs="Arial"/>
              </w:rPr>
              <w:t>np.</w:t>
            </w:r>
            <w:r w:rsidRPr="00323EF7">
              <w:rPr>
                <w:rFonts w:cs="Arial"/>
              </w:rPr>
              <w:t xml:space="preserve"> nauczyciele przeszkoleni w zakresie innowacyjnych metod nauczania z wykorzystaniem narzędzi informatycznych; lokalne organizacje informacji turystycznej</w:t>
            </w:r>
            <w:r>
              <w:rPr>
                <w:rFonts w:cs="Arial"/>
              </w:rPr>
              <w:t>, które będą</w:t>
            </w:r>
            <w:r w:rsidRPr="00323EF7">
              <w:rPr>
                <w:rFonts w:cs="Arial"/>
              </w:rPr>
              <w:t xml:space="preserve"> lepiej przygotowane do świadczenia bardziej zaawansowanych usług. Należy pamiętać, że osoby/podmioty wchodzące w skład grupy docelowej niekoniecznie otrzymują </w:t>
            </w:r>
            <w:r>
              <w:rPr>
                <w:rFonts w:cs="Arial"/>
              </w:rPr>
              <w:t>dofinansowanie</w:t>
            </w:r>
            <w:r w:rsidRPr="00323EF7">
              <w:rPr>
                <w:rFonts w:cs="Arial"/>
              </w:rPr>
              <w:t>, a nawet nie są bezpośrednio zaangażowane w projekt jako beneficjenci.</w:t>
            </w:r>
          </w:p>
          <w:p w:rsidR="00BB323B" w:rsidRDefault="00BB323B" w:rsidP="004F0F54">
            <w:pPr>
              <w:jc w:val="both"/>
              <w:rPr>
                <w:rFonts w:cs="Arial"/>
              </w:rPr>
            </w:pPr>
          </w:p>
          <w:p w:rsidR="006E0C97" w:rsidRPr="005B6F61" w:rsidRDefault="006E0C97" w:rsidP="004F0F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5B6F61">
              <w:rPr>
                <w:rFonts w:cs="Arial"/>
              </w:rPr>
              <w:t>eneficjentami</w:t>
            </w:r>
            <w:r>
              <w:rPr>
                <w:rFonts w:cs="Arial"/>
              </w:rPr>
              <w:t xml:space="preserve"> końcowymi</w:t>
            </w:r>
            <w:r w:rsidRPr="005B6F61">
              <w:rPr>
                <w:rFonts w:cs="Arial"/>
              </w:rPr>
              <w:t xml:space="preserve"> są osoby lub podmioty, które </w:t>
            </w:r>
            <w:r>
              <w:rPr>
                <w:rFonts w:cs="Arial"/>
              </w:rPr>
              <w:t>korzystają z efektów</w:t>
            </w:r>
            <w:r w:rsidRPr="005B6F61">
              <w:rPr>
                <w:rFonts w:cs="Arial"/>
              </w:rPr>
              <w:t xml:space="preserve"> projektu w długim okresie</w:t>
            </w:r>
            <w:r>
              <w:rPr>
                <w:rFonts w:cs="Arial"/>
              </w:rPr>
              <w:t xml:space="preserve"> czasu</w:t>
            </w:r>
            <w:r w:rsidRPr="005B6F61">
              <w:rPr>
                <w:rFonts w:cs="Arial"/>
              </w:rPr>
              <w:t xml:space="preserve"> na poziomie społeczeństwa lub całego sektora. Zwykle jest to szersza grupa osób/podmiotów</w:t>
            </w:r>
            <w:r>
              <w:rPr>
                <w:rFonts w:cs="Arial"/>
              </w:rPr>
              <w:t>, np</w:t>
            </w:r>
            <w:r w:rsidRPr="005B6F61">
              <w:rPr>
                <w:rFonts w:cs="Arial"/>
              </w:rPr>
              <w:t xml:space="preserve">. dzieci </w:t>
            </w:r>
            <w:r>
              <w:rPr>
                <w:rFonts w:cs="Arial"/>
              </w:rPr>
              <w:br/>
            </w:r>
            <w:r w:rsidRPr="005B6F61">
              <w:rPr>
                <w:rFonts w:cs="Arial"/>
              </w:rPr>
              <w:t>w wieku szkolnym korzystające z lepszych programów edukacyjnyc</w:t>
            </w:r>
            <w:r>
              <w:rPr>
                <w:rFonts w:cs="Arial"/>
              </w:rPr>
              <w:t>h</w:t>
            </w:r>
            <w:r w:rsidRPr="005B6F61">
              <w:rPr>
                <w:rFonts w:cs="Arial"/>
              </w:rPr>
              <w:t>/edukacj</w:t>
            </w:r>
            <w:r>
              <w:rPr>
                <w:rFonts w:cs="Arial"/>
              </w:rPr>
              <w:t>i</w:t>
            </w:r>
            <w:r w:rsidRPr="005B6F61">
              <w:rPr>
                <w:rFonts w:cs="Arial"/>
              </w:rPr>
              <w:t xml:space="preserve">, </w:t>
            </w:r>
            <w:proofErr w:type="spellStart"/>
            <w:r w:rsidRPr="005B6F61">
              <w:rPr>
                <w:rFonts w:cs="Arial"/>
              </w:rPr>
              <w:t>transgraniczni</w:t>
            </w:r>
            <w:proofErr w:type="spellEnd"/>
            <w:r w:rsidRPr="005B6F61">
              <w:rPr>
                <w:rFonts w:cs="Arial"/>
              </w:rPr>
              <w:t xml:space="preserve"> turyści w danym obszarze, korzystający z określonych usług.</w:t>
            </w:r>
          </w:p>
        </w:tc>
      </w:tr>
      <w:tr w:rsidR="006E0C97" w:rsidRPr="00B1680A" w:rsidTr="001A33DB">
        <w:trPr>
          <w:trHeight w:val="404"/>
        </w:trPr>
        <w:tc>
          <w:tcPr>
            <w:tcW w:w="10144" w:type="dxa"/>
            <w:shd w:val="clear" w:color="auto" w:fill="D9D9D9" w:themeFill="background1" w:themeFillShade="D9"/>
          </w:tcPr>
          <w:p w:rsidR="006E0C97" w:rsidRPr="00B1680A" w:rsidRDefault="006E0C97" w:rsidP="00801202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B1680A">
              <w:rPr>
                <w:rFonts w:cs="Arial"/>
                <w:b/>
                <w:sz w:val="24"/>
                <w:szCs w:val="24"/>
              </w:rPr>
              <w:t>16. W jaki sposób 7% kosztów administracyjnych związanych z projektem jest rozdzielanych między beneficjentów projektu?</w:t>
            </w:r>
          </w:p>
        </w:tc>
      </w:tr>
      <w:tr w:rsidR="006E0C97" w:rsidRPr="00B1680A" w:rsidTr="001A33DB">
        <w:trPr>
          <w:trHeight w:val="707"/>
        </w:trPr>
        <w:tc>
          <w:tcPr>
            <w:tcW w:w="10144" w:type="dxa"/>
            <w:tcBorders>
              <w:bottom w:val="single" w:sz="4" w:space="0" w:color="auto"/>
            </w:tcBorders>
          </w:tcPr>
          <w:p w:rsidR="006E0C97" w:rsidRPr="00B1680A" w:rsidRDefault="006E0C97" w:rsidP="002B396E">
            <w:pPr>
              <w:jc w:val="both"/>
              <w:rPr>
                <w:rFonts w:cs="Arial"/>
                <w:sz w:val="24"/>
                <w:szCs w:val="24"/>
              </w:rPr>
            </w:pPr>
            <w:r w:rsidRPr="00B1680A">
              <w:rPr>
                <w:rFonts w:cs="Arial"/>
                <w:sz w:val="24"/>
                <w:szCs w:val="24"/>
              </w:rPr>
              <w:t xml:space="preserve">7% kosztów administracyjnych jest obliczanych na podstawie indywidualnych budżetów każdego beneficjenta projektu (7% </w:t>
            </w:r>
            <w:proofErr w:type="spellStart"/>
            <w:r w:rsidRPr="00B1680A">
              <w:rPr>
                <w:rFonts w:cs="Arial"/>
                <w:sz w:val="24"/>
                <w:szCs w:val="24"/>
              </w:rPr>
              <w:t>kwalifikowalnych</w:t>
            </w:r>
            <w:proofErr w:type="spellEnd"/>
            <w:r w:rsidRPr="00B1680A">
              <w:rPr>
                <w:rFonts w:cs="Arial"/>
                <w:sz w:val="24"/>
                <w:szCs w:val="24"/>
              </w:rPr>
              <w:t xml:space="preserve"> kosztów bezpośrednich po odjęciu kosztów związanych </w:t>
            </w:r>
            <w:r>
              <w:rPr>
                <w:rFonts w:cs="Arial"/>
                <w:sz w:val="24"/>
                <w:szCs w:val="24"/>
              </w:rPr>
              <w:br/>
            </w:r>
            <w:r w:rsidRPr="00B1680A">
              <w:rPr>
                <w:rFonts w:cs="Arial"/>
                <w:sz w:val="24"/>
                <w:szCs w:val="24"/>
              </w:rPr>
              <w:t>z komponentem infrastrukturalnym).</w:t>
            </w:r>
          </w:p>
        </w:tc>
      </w:tr>
      <w:tr w:rsidR="006E0C97" w:rsidRPr="00B1680A" w:rsidTr="009701FD">
        <w:trPr>
          <w:trHeight w:val="257"/>
        </w:trPr>
        <w:tc>
          <w:tcPr>
            <w:tcW w:w="10144" w:type="dxa"/>
            <w:shd w:val="clear" w:color="auto" w:fill="D9D9D9" w:themeFill="background1" w:themeFillShade="D9"/>
          </w:tcPr>
          <w:p w:rsidR="006E0C97" w:rsidRPr="00B1680A" w:rsidRDefault="006E0C97" w:rsidP="00A1444A">
            <w:pPr>
              <w:jc w:val="both"/>
              <w:rPr>
                <w:sz w:val="24"/>
                <w:szCs w:val="24"/>
              </w:rPr>
            </w:pPr>
            <w:r w:rsidRPr="00B1680A">
              <w:rPr>
                <w:rFonts w:cs="Arial"/>
                <w:b/>
                <w:sz w:val="24"/>
                <w:szCs w:val="24"/>
              </w:rPr>
              <w:t>17.</w:t>
            </w:r>
            <w:r w:rsidRPr="00B1680A">
              <w:rPr>
                <w:b/>
                <w:sz w:val="24"/>
                <w:szCs w:val="24"/>
              </w:rPr>
              <w:t xml:space="preserve"> Czy beneficjent może zlecić swoim pracownikom realizację działań związanych z projektem </w:t>
            </w:r>
            <w:r>
              <w:rPr>
                <w:b/>
                <w:sz w:val="24"/>
                <w:szCs w:val="24"/>
              </w:rPr>
              <w:br/>
            </w:r>
            <w:r w:rsidRPr="00B1680A">
              <w:rPr>
                <w:b/>
                <w:sz w:val="24"/>
                <w:szCs w:val="24"/>
              </w:rPr>
              <w:t xml:space="preserve">na podstawie umowy cywilnoprawnej (np. rozliczanie projektu, wykonanie badania, napisanie publikacji itp.) i umieścić koszty w linii budżetowej 1. Koszty osobowe lub linii budżetowej </w:t>
            </w:r>
            <w:r w:rsidR="00BB323B">
              <w:rPr>
                <w:b/>
                <w:sz w:val="24"/>
                <w:szCs w:val="24"/>
              </w:rPr>
              <w:br/>
            </w:r>
            <w:r w:rsidRPr="00B1680A">
              <w:rPr>
                <w:b/>
                <w:sz w:val="24"/>
                <w:szCs w:val="24"/>
              </w:rPr>
              <w:t>4. Usługi?</w:t>
            </w:r>
          </w:p>
        </w:tc>
      </w:tr>
      <w:tr w:rsidR="006E0C97" w:rsidRPr="00B1680A" w:rsidTr="009701FD">
        <w:trPr>
          <w:trHeight w:val="257"/>
        </w:trPr>
        <w:tc>
          <w:tcPr>
            <w:tcW w:w="10144" w:type="dxa"/>
            <w:tcBorders>
              <w:bottom w:val="single" w:sz="4" w:space="0" w:color="auto"/>
            </w:tcBorders>
          </w:tcPr>
          <w:p w:rsidR="006E0C97" w:rsidRPr="00B1680A" w:rsidRDefault="006E0C97" w:rsidP="00E34179">
            <w:pPr>
              <w:jc w:val="both"/>
              <w:rPr>
                <w:rFonts w:cs="Arial"/>
                <w:sz w:val="24"/>
                <w:szCs w:val="24"/>
              </w:rPr>
            </w:pPr>
            <w:r w:rsidRPr="00B1680A">
              <w:rPr>
                <w:rFonts w:cs="Arial"/>
                <w:sz w:val="24"/>
                <w:szCs w:val="24"/>
              </w:rPr>
              <w:t xml:space="preserve">Co do zasady, wiodący beneficjent/beneficjent nie może zlecać usług (zawierać umów cywilnoprawnych) pracownikom własnej organizacji lub członkowi personelu innego beneficjenta. </w:t>
            </w:r>
            <w:r w:rsidRPr="00B1680A">
              <w:rPr>
                <w:rFonts w:cs="Arial"/>
                <w:sz w:val="24"/>
                <w:szCs w:val="24"/>
              </w:rPr>
              <w:lastRenderedPageBreak/>
              <w:t xml:space="preserve">Jedynym możliwym wyjątkiem jest wykonanie dzieła o szczególnym charakterze. </w:t>
            </w:r>
          </w:p>
          <w:p w:rsidR="006E0C97" w:rsidRPr="00B1680A" w:rsidRDefault="006E0C97" w:rsidP="00E34179">
            <w:pPr>
              <w:jc w:val="both"/>
              <w:rPr>
                <w:rFonts w:cs="Arial"/>
                <w:sz w:val="24"/>
                <w:szCs w:val="24"/>
              </w:rPr>
            </w:pPr>
            <w:r w:rsidRPr="00B1680A">
              <w:rPr>
                <w:rFonts w:cs="Arial"/>
                <w:sz w:val="24"/>
                <w:szCs w:val="24"/>
              </w:rPr>
              <w:t xml:space="preserve">Należy pamiętać, że zgodnie z zasadami Programu określonymi w Podręczniku Programu Część I </w:t>
            </w:r>
            <w:r w:rsidRPr="00B1680A">
              <w:rPr>
                <w:rFonts w:cs="Arial"/>
                <w:sz w:val="24"/>
                <w:szCs w:val="24"/>
              </w:rPr>
              <w:br/>
              <w:t>– wnioskodawca, koszty usług podlegają obowiązującym w Programie zasadom udzielania zamówień, a każdy wiodący beneficjent/beneficjent odpowiada za zapewnienie przestrzegania tych zasad. Zawieranie umów, niezależnie od wartości, musi być zgodne z zasadami przejrzystości, niedyskryminacji, równego traktowania, efektywności kosztowej i uczciwej konkurencji.</w:t>
            </w:r>
          </w:p>
        </w:tc>
      </w:tr>
      <w:tr w:rsidR="006E0C97" w:rsidRPr="00B1680A" w:rsidTr="009701FD">
        <w:trPr>
          <w:trHeight w:val="257"/>
        </w:trPr>
        <w:tc>
          <w:tcPr>
            <w:tcW w:w="10144" w:type="dxa"/>
            <w:shd w:val="clear" w:color="auto" w:fill="D9D9D9" w:themeFill="background1" w:themeFillShade="D9"/>
          </w:tcPr>
          <w:p w:rsidR="006E0C97" w:rsidRPr="00B1680A" w:rsidRDefault="006E0C97" w:rsidP="00A1444A">
            <w:pPr>
              <w:jc w:val="both"/>
              <w:rPr>
                <w:b/>
                <w:sz w:val="24"/>
                <w:szCs w:val="24"/>
              </w:rPr>
            </w:pPr>
            <w:r w:rsidRPr="00B1680A">
              <w:rPr>
                <w:rFonts w:cs="Arial"/>
                <w:b/>
                <w:sz w:val="24"/>
                <w:szCs w:val="24"/>
              </w:rPr>
              <w:lastRenderedPageBreak/>
              <w:t>18.</w:t>
            </w:r>
            <w:r w:rsidRPr="00B1680A">
              <w:rPr>
                <w:b/>
                <w:sz w:val="24"/>
                <w:szCs w:val="24"/>
              </w:rPr>
              <w:t xml:space="preserve"> Jakie kontrakty są rozumiane przez inne niż umowy o pracę w linii budżetowej 1. Koszty personelu?</w:t>
            </w:r>
          </w:p>
        </w:tc>
      </w:tr>
      <w:tr w:rsidR="006E0C97" w:rsidRPr="00B1680A" w:rsidTr="008B3013">
        <w:trPr>
          <w:trHeight w:val="257"/>
        </w:trPr>
        <w:tc>
          <w:tcPr>
            <w:tcW w:w="10144" w:type="dxa"/>
            <w:tcBorders>
              <w:bottom w:val="single" w:sz="4" w:space="0" w:color="auto"/>
            </w:tcBorders>
          </w:tcPr>
          <w:p w:rsidR="006E0C97" w:rsidRPr="00B1680A" w:rsidRDefault="006E0C97" w:rsidP="00D0689E">
            <w:pPr>
              <w:jc w:val="both"/>
              <w:rPr>
                <w:sz w:val="24"/>
                <w:szCs w:val="24"/>
              </w:rPr>
            </w:pPr>
            <w:r w:rsidRPr="00B1680A">
              <w:rPr>
                <w:sz w:val="24"/>
                <w:szCs w:val="24"/>
              </w:rPr>
              <w:t xml:space="preserve">Co do zasady, beneficjenci mogą zatrudniać nowych pracowników na okres realizacji projektu, </w:t>
            </w:r>
            <w:r w:rsidRPr="00B1680A">
              <w:rPr>
                <w:sz w:val="24"/>
                <w:szCs w:val="24"/>
              </w:rPr>
              <w:br/>
              <w:t>na podstawie umów o pracę lub powierzać wykonanie czynności w projekcie na podstawie umów innych niż umowy o pracę (np. umów cywilnoprawnych lub innych umów mających zastosowanie zgodnie z ustawodawstwem krajowym). W związku z tym, jeżeli beneficjent zatrudnia osobę fizyczną w celu zarządzania projektem na podstawie umowy cywilnoprawnej (zapewniając przestrzeganie obowiązujących przepisów dotyczących zamówień publicznych), koszt można umieścić w pozycji budżetowej 1. Koszty personelu. Jeżeli beneficjent zawiera umowę z podmiotem prawnym, koszty należy umieścić w linii budżetowej 4. Usługi.</w:t>
            </w:r>
          </w:p>
        </w:tc>
      </w:tr>
      <w:tr w:rsidR="006E0C97" w:rsidRPr="00B1680A" w:rsidTr="008B3013">
        <w:trPr>
          <w:trHeight w:val="257"/>
        </w:trPr>
        <w:tc>
          <w:tcPr>
            <w:tcW w:w="10144" w:type="dxa"/>
            <w:shd w:val="clear" w:color="auto" w:fill="D9D9D9" w:themeFill="background1" w:themeFillShade="D9"/>
          </w:tcPr>
          <w:p w:rsidR="006E0C97" w:rsidRPr="00D86CF4" w:rsidRDefault="006E0C97" w:rsidP="00D86CF4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19</w:t>
            </w:r>
            <w:r w:rsidRPr="00B1680A">
              <w:rPr>
                <w:rFonts w:cs="Arial"/>
                <w:b/>
                <w:sz w:val="24"/>
                <w:szCs w:val="24"/>
              </w:rPr>
              <w:t xml:space="preserve">. Jeżeli, zgodnie z ustawodawstwem krajowym, polski beneficjent nie jest zobowiązany </w:t>
            </w:r>
            <w:r>
              <w:rPr>
                <w:rFonts w:cs="Arial"/>
                <w:b/>
                <w:sz w:val="24"/>
                <w:szCs w:val="24"/>
              </w:rPr>
              <w:br/>
            </w:r>
            <w:r w:rsidRPr="00B1680A">
              <w:rPr>
                <w:rFonts w:cs="Arial"/>
                <w:b/>
                <w:sz w:val="24"/>
                <w:szCs w:val="24"/>
              </w:rPr>
              <w:t xml:space="preserve">do uzyskania </w:t>
            </w:r>
            <w:r w:rsidRPr="00B1680A">
              <w:rPr>
                <w:rFonts w:cs="Arial"/>
                <w:b/>
                <w:i/>
                <w:sz w:val="24"/>
                <w:szCs w:val="24"/>
              </w:rPr>
              <w:t>Decyzji o środowiskowych uwarunkowaniach zgody na realizację przedsięwzięcia</w:t>
            </w:r>
            <w:r w:rsidRPr="00B1680A">
              <w:rPr>
                <w:rFonts w:cs="Arial"/>
                <w:b/>
                <w:sz w:val="24"/>
                <w:szCs w:val="24"/>
              </w:rPr>
              <w:t xml:space="preserve">, </w:t>
            </w:r>
            <w:r>
              <w:rPr>
                <w:rFonts w:cs="Arial"/>
                <w:b/>
                <w:sz w:val="24"/>
                <w:szCs w:val="24"/>
              </w:rPr>
              <w:br/>
            </w:r>
            <w:r w:rsidRPr="00B1680A">
              <w:rPr>
                <w:rFonts w:cs="Arial"/>
                <w:b/>
                <w:sz w:val="24"/>
                <w:szCs w:val="24"/>
              </w:rPr>
              <w:t xml:space="preserve">czy należy dołączyć do wniosku aplikacyjnego pisemne oświadczenie od odpowiedniej instytucji potwierdzające tę informację? W wielu przypadkach organy te nie odpowiadają na takie zapytania. Jedynym rozwiązaniem pozwalającym na otrzymanie pisemnego oświadczenia jest niepotrzebne przygotowanie wniosku o wydanie decyzji środowiskowej. </w:t>
            </w:r>
            <w:r w:rsidRPr="00D86CF4">
              <w:rPr>
                <w:rFonts w:cs="Arial"/>
                <w:b/>
                <w:sz w:val="24"/>
                <w:szCs w:val="24"/>
              </w:rPr>
              <w:t xml:space="preserve">Czy będzie dopuszczalne, </w:t>
            </w:r>
            <w:r w:rsidR="007F5447">
              <w:rPr>
                <w:rFonts w:cs="Arial"/>
                <w:b/>
                <w:sz w:val="24"/>
                <w:szCs w:val="24"/>
              </w:rPr>
              <w:br/>
            </w:r>
            <w:r w:rsidRPr="00D86CF4">
              <w:rPr>
                <w:rFonts w:cs="Arial"/>
                <w:b/>
                <w:sz w:val="24"/>
                <w:szCs w:val="24"/>
              </w:rPr>
              <w:t>aby beneficjent dostarczył deklarację własną?</w:t>
            </w:r>
          </w:p>
        </w:tc>
      </w:tr>
      <w:tr w:rsidR="006E0C97" w:rsidRPr="00B1680A" w:rsidTr="008B3013">
        <w:trPr>
          <w:trHeight w:val="257"/>
        </w:trPr>
        <w:tc>
          <w:tcPr>
            <w:tcW w:w="10144" w:type="dxa"/>
            <w:tcBorders>
              <w:bottom w:val="single" w:sz="4" w:space="0" w:color="auto"/>
            </w:tcBorders>
          </w:tcPr>
          <w:p w:rsidR="006E0C97" w:rsidRPr="00B1680A" w:rsidRDefault="006E0C97" w:rsidP="00B637BD">
            <w:pPr>
              <w:jc w:val="both"/>
              <w:rPr>
                <w:rFonts w:cs="Arial"/>
                <w:sz w:val="24"/>
                <w:szCs w:val="24"/>
              </w:rPr>
            </w:pPr>
            <w:r w:rsidRPr="00B1680A">
              <w:rPr>
                <w:rFonts w:cs="Arial"/>
                <w:sz w:val="24"/>
                <w:szCs w:val="24"/>
              </w:rPr>
              <w:t xml:space="preserve">Uprzejmie informujemy, że w celu usprawnienia procesu oceny i wyboru projektów wymagania dotyczące złożenia załącznika A12 zostały uproszczone: </w:t>
            </w:r>
          </w:p>
          <w:p w:rsidR="006E0C97" w:rsidRPr="00B1680A" w:rsidRDefault="006E0C97" w:rsidP="00B637BD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6E0C97" w:rsidRPr="00B1680A" w:rsidRDefault="006E0C97" w:rsidP="00B637BD">
            <w:pPr>
              <w:jc w:val="both"/>
              <w:rPr>
                <w:rFonts w:cs="Arial"/>
                <w:sz w:val="24"/>
                <w:szCs w:val="24"/>
              </w:rPr>
            </w:pPr>
            <w:r w:rsidRPr="00B1680A">
              <w:rPr>
                <w:rFonts w:cs="Arial"/>
                <w:sz w:val="24"/>
                <w:szCs w:val="24"/>
              </w:rPr>
              <w:t xml:space="preserve">Polscy wnioskodawcy projektów infrastrukturalnych - w przypadku prac budowlanych </w:t>
            </w:r>
            <w:r>
              <w:rPr>
                <w:rFonts w:cs="Arial"/>
                <w:sz w:val="24"/>
                <w:szCs w:val="24"/>
              </w:rPr>
              <w:br/>
            </w:r>
            <w:r w:rsidRPr="00B1680A">
              <w:rPr>
                <w:rFonts w:cs="Arial"/>
                <w:sz w:val="24"/>
                <w:szCs w:val="24"/>
              </w:rPr>
              <w:t>nie wymagających wydania decyzji o środowiskowych uwarunkowaniach, należy złożyć  zaświadczenie wydane przez odpowiednią instytucję lub oświadczenie wnioskodawcy z podaniem podstawy prawnej.</w:t>
            </w:r>
          </w:p>
        </w:tc>
      </w:tr>
    </w:tbl>
    <w:p w:rsidR="000164E8" w:rsidRPr="00B637BD" w:rsidRDefault="000164E8" w:rsidP="001B38D5">
      <w:pPr>
        <w:jc w:val="both"/>
        <w:rPr>
          <w:b/>
        </w:rPr>
      </w:pPr>
    </w:p>
    <w:sectPr w:rsidR="000164E8" w:rsidRPr="00B637BD" w:rsidSect="00A404A7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23B" w:rsidRDefault="00BB323B" w:rsidP="000164E8">
      <w:pPr>
        <w:spacing w:after="0" w:line="240" w:lineRule="auto"/>
      </w:pPr>
      <w:r>
        <w:separator/>
      </w:r>
    </w:p>
  </w:endnote>
  <w:endnote w:type="continuationSeparator" w:id="0">
    <w:p w:rsidR="00BB323B" w:rsidRDefault="00BB323B" w:rsidP="0001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695860"/>
      <w:docPartObj>
        <w:docPartGallery w:val="Page Numbers (Bottom of Page)"/>
        <w:docPartUnique/>
      </w:docPartObj>
    </w:sdtPr>
    <w:sdtContent>
      <w:p w:rsidR="00BB323B" w:rsidRDefault="00BB323B">
        <w:pPr>
          <w:pStyle w:val="Stopka"/>
          <w:jc w:val="right"/>
        </w:pPr>
        <w:fldSimple w:instr=" PAGE   \* MERGEFORMAT ">
          <w:r w:rsidR="007F5447">
            <w:rPr>
              <w:noProof/>
            </w:rPr>
            <w:t>4</w:t>
          </w:r>
        </w:fldSimple>
      </w:p>
    </w:sdtContent>
  </w:sdt>
  <w:p w:rsidR="00BB323B" w:rsidRDefault="00BB32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23B" w:rsidRDefault="00BB323B" w:rsidP="000164E8">
      <w:pPr>
        <w:spacing w:after="0" w:line="240" w:lineRule="auto"/>
      </w:pPr>
      <w:r>
        <w:separator/>
      </w:r>
    </w:p>
  </w:footnote>
  <w:footnote w:type="continuationSeparator" w:id="0">
    <w:p w:rsidR="00BB323B" w:rsidRDefault="00BB323B" w:rsidP="0001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3B" w:rsidRDefault="00BB323B" w:rsidP="00A404A7">
    <w:pPr>
      <w:rPr>
        <w:b/>
        <w:color w:val="548DD4" w:themeColor="text2" w:themeTint="99"/>
        <w:sz w:val="28"/>
        <w:szCs w:val="28"/>
      </w:rPr>
    </w:pPr>
    <w:r w:rsidRPr="000164E8">
      <w:rPr>
        <w:noProof/>
      </w:rPr>
      <w:drawing>
        <wp:inline distT="0" distB="0" distL="0" distR="0">
          <wp:extent cx="2714625" cy="689283"/>
          <wp:effectExtent l="19050" t="0" r="9525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89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335AEE">
      <w:rPr>
        <w:b/>
        <w:sz w:val="28"/>
        <w:szCs w:val="28"/>
      </w:rPr>
      <w:t xml:space="preserve">QUESTIONS &amp; ANSWERS </w:t>
    </w:r>
    <w:r>
      <w:rPr>
        <w:b/>
        <w:color w:val="548DD4" w:themeColor="text2" w:themeTint="99"/>
        <w:sz w:val="28"/>
        <w:szCs w:val="28"/>
      </w:rPr>
      <w:t>28</w:t>
    </w:r>
    <w:r w:rsidRPr="00335AEE">
      <w:rPr>
        <w:b/>
        <w:color w:val="548DD4" w:themeColor="text2" w:themeTint="99"/>
        <w:sz w:val="28"/>
        <w:szCs w:val="28"/>
      </w:rPr>
      <w:t xml:space="preserve"> </w:t>
    </w:r>
    <w:r>
      <w:rPr>
        <w:b/>
        <w:color w:val="548DD4" w:themeColor="text2" w:themeTint="99"/>
        <w:sz w:val="28"/>
        <w:szCs w:val="28"/>
      </w:rPr>
      <w:t>May</w:t>
    </w:r>
    <w:r w:rsidRPr="00335AEE">
      <w:rPr>
        <w:b/>
        <w:color w:val="548DD4" w:themeColor="text2" w:themeTint="99"/>
        <w:sz w:val="28"/>
        <w:szCs w:val="28"/>
      </w:rPr>
      <w:t xml:space="preserve"> 201</w:t>
    </w:r>
    <w:r>
      <w:rPr>
        <w:b/>
        <w:color w:val="548DD4" w:themeColor="text2" w:themeTint="99"/>
        <w:sz w:val="28"/>
        <w:szCs w:val="28"/>
      </w:rPr>
      <w:t>8</w:t>
    </w:r>
  </w:p>
  <w:p w:rsidR="00BB323B" w:rsidRPr="00A404A7" w:rsidRDefault="00BB323B" w:rsidP="00A404A7">
    <w:pPr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E00"/>
    <w:multiLevelType w:val="hybridMultilevel"/>
    <w:tmpl w:val="63A2B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2EAD"/>
    <w:multiLevelType w:val="hybridMultilevel"/>
    <w:tmpl w:val="E2543070"/>
    <w:lvl w:ilvl="0" w:tplc="0415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>
    <w:nsid w:val="296C5CC7"/>
    <w:multiLevelType w:val="hybridMultilevel"/>
    <w:tmpl w:val="4D8C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E2E3A"/>
    <w:multiLevelType w:val="hybridMultilevel"/>
    <w:tmpl w:val="91E8F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15DBF"/>
    <w:multiLevelType w:val="hybridMultilevel"/>
    <w:tmpl w:val="CDBC5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5271B"/>
    <w:multiLevelType w:val="hybridMultilevel"/>
    <w:tmpl w:val="D1A40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72DA3"/>
    <w:multiLevelType w:val="hybridMultilevel"/>
    <w:tmpl w:val="D6DAF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E7ADB"/>
    <w:multiLevelType w:val="hybridMultilevel"/>
    <w:tmpl w:val="770C87C2"/>
    <w:lvl w:ilvl="0" w:tplc="6E8ED6D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7243A"/>
    <w:multiLevelType w:val="hybridMultilevel"/>
    <w:tmpl w:val="3D66EBC0"/>
    <w:lvl w:ilvl="0" w:tplc="835281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50070"/>
    <w:multiLevelType w:val="hybridMultilevel"/>
    <w:tmpl w:val="2C7CD572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>
    <w:nsid w:val="617C2232"/>
    <w:multiLevelType w:val="hybridMultilevel"/>
    <w:tmpl w:val="CBF4D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70CE8"/>
    <w:multiLevelType w:val="hybridMultilevel"/>
    <w:tmpl w:val="F55ED874"/>
    <w:lvl w:ilvl="0" w:tplc="82E2AB3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3118B"/>
    <w:multiLevelType w:val="hybridMultilevel"/>
    <w:tmpl w:val="62D4F30E"/>
    <w:lvl w:ilvl="0" w:tplc="BC9AF80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E443C8"/>
    <w:multiLevelType w:val="hybridMultilevel"/>
    <w:tmpl w:val="4672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12"/>
  </w:num>
  <w:num w:numId="8">
    <w:abstractNumId w:val="13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64E8"/>
    <w:rsid w:val="000164E8"/>
    <w:rsid w:val="00025BFC"/>
    <w:rsid w:val="00047CB8"/>
    <w:rsid w:val="00080AA9"/>
    <w:rsid w:val="000864E3"/>
    <w:rsid w:val="000A2083"/>
    <w:rsid w:val="000C1315"/>
    <w:rsid w:val="000C71C0"/>
    <w:rsid w:val="000C7459"/>
    <w:rsid w:val="000D0721"/>
    <w:rsid w:val="000D7D6F"/>
    <w:rsid w:val="000F432A"/>
    <w:rsid w:val="000F60EE"/>
    <w:rsid w:val="001038B8"/>
    <w:rsid w:val="00143F5F"/>
    <w:rsid w:val="00145B4B"/>
    <w:rsid w:val="0015693E"/>
    <w:rsid w:val="00171708"/>
    <w:rsid w:val="0019052D"/>
    <w:rsid w:val="001A33DB"/>
    <w:rsid w:val="001B38B7"/>
    <w:rsid w:val="001B38D5"/>
    <w:rsid w:val="001B4409"/>
    <w:rsid w:val="001F0FEF"/>
    <w:rsid w:val="002038C8"/>
    <w:rsid w:val="002073F3"/>
    <w:rsid w:val="00214F14"/>
    <w:rsid w:val="00250E3D"/>
    <w:rsid w:val="0027505F"/>
    <w:rsid w:val="00286B46"/>
    <w:rsid w:val="0029089C"/>
    <w:rsid w:val="002B396E"/>
    <w:rsid w:val="002C7815"/>
    <w:rsid w:val="002D0CF9"/>
    <w:rsid w:val="002F1BCF"/>
    <w:rsid w:val="003007D3"/>
    <w:rsid w:val="00303A58"/>
    <w:rsid w:val="00335AEE"/>
    <w:rsid w:val="00351D47"/>
    <w:rsid w:val="003765FC"/>
    <w:rsid w:val="003D4A3E"/>
    <w:rsid w:val="003E1667"/>
    <w:rsid w:val="00417B12"/>
    <w:rsid w:val="0043246B"/>
    <w:rsid w:val="0043470E"/>
    <w:rsid w:val="00436655"/>
    <w:rsid w:val="004367FD"/>
    <w:rsid w:val="00442C83"/>
    <w:rsid w:val="00450C2F"/>
    <w:rsid w:val="00464191"/>
    <w:rsid w:val="00491FB3"/>
    <w:rsid w:val="004C5B2B"/>
    <w:rsid w:val="004F0F54"/>
    <w:rsid w:val="004F2F3A"/>
    <w:rsid w:val="00501B94"/>
    <w:rsid w:val="00526679"/>
    <w:rsid w:val="00575553"/>
    <w:rsid w:val="005766FF"/>
    <w:rsid w:val="005C5861"/>
    <w:rsid w:val="005F7B7C"/>
    <w:rsid w:val="00600372"/>
    <w:rsid w:val="00613D3B"/>
    <w:rsid w:val="0065104C"/>
    <w:rsid w:val="00657B42"/>
    <w:rsid w:val="006618DC"/>
    <w:rsid w:val="00686398"/>
    <w:rsid w:val="00686FCD"/>
    <w:rsid w:val="006A56AD"/>
    <w:rsid w:val="006B44E1"/>
    <w:rsid w:val="006C2AD6"/>
    <w:rsid w:val="006E0C97"/>
    <w:rsid w:val="00746F6A"/>
    <w:rsid w:val="00776784"/>
    <w:rsid w:val="0078075E"/>
    <w:rsid w:val="00790A24"/>
    <w:rsid w:val="00791F20"/>
    <w:rsid w:val="00791FE1"/>
    <w:rsid w:val="007A1FA8"/>
    <w:rsid w:val="007B691F"/>
    <w:rsid w:val="007C350A"/>
    <w:rsid w:val="007E09D4"/>
    <w:rsid w:val="007F5447"/>
    <w:rsid w:val="00801202"/>
    <w:rsid w:val="0082020B"/>
    <w:rsid w:val="00821474"/>
    <w:rsid w:val="00824641"/>
    <w:rsid w:val="0084303E"/>
    <w:rsid w:val="00851FE1"/>
    <w:rsid w:val="00863BAB"/>
    <w:rsid w:val="008649BC"/>
    <w:rsid w:val="008661D3"/>
    <w:rsid w:val="008A5BD5"/>
    <w:rsid w:val="008A6628"/>
    <w:rsid w:val="008A6B08"/>
    <w:rsid w:val="008B3013"/>
    <w:rsid w:val="008C4672"/>
    <w:rsid w:val="008C4D11"/>
    <w:rsid w:val="008E3BC8"/>
    <w:rsid w:val="009012FA"/>
    <w:rsid w:val="009604C1"/>
    <w:rsid w:val="009701FD"/>
    <w:rsid w:val="009730D1"/>
    <w:rsid w:val="00973A31"/>
    <w:rsid w:val="00976442"/>
    <w:rsid w:val="00983FC0"/>
    <w:rsid w:val="009A6758"/>
    <w:rsid w:val="009C1857"/>
    <w:rsid w:val="009D411F"/>
    <w:rsid w:val="009D6F86"/>
    <w:rsid w:val="00A0112C"/>
    <w:rsid w:val="00A1444A"/>
    <w:rsid w:val="00A16A45"/>
    <w:rsid w:val="00A349B3"/>
    <w:rsid w:val="00A404A7"/>
    <w:rsid w:val="00A60DC7"/>
    <w:rsid w:val="00A67D61"/>
    <w:rsid w:val="00A73FA8"/>
    <w:rsid w:val="00A97DB8"/>
    <w:rsid w:val="00AA1AAC"/>
    <w:rsid w:val="00AC2EE6"/>
    <w:rsid w:val="00AC7DF3"/>
    <w:rsid w:val="00AE2715"/>
    <w:rsid w:val="00B10070"/>
    <w:rsid w:val="00B1680A"/>
    <w:rsid w:val="00B2712D"/>
    <w:rsid w:val="00B46A37"/>
    <w:rsid w:val="00B637BD"/>
    <w:rsid w:val="00B74D6B"/>
    <w:rsid w:val="00B80D8F"/>
    <w:rsid w:val="00B94483"/>
    <w:rsid w:val="00BB323B"/>
    <w:rsid w:val="00C0110B"/>
    <w:rsid w:val="00C03793"/>
    <w:rsid w:val="00C414AB"/>
    <w:rsid w:val="00CA1C12"/>
    <w:rsid w:val="00CC0458"/>
    <w:rsid w:val="00CC49B1"/>
    <w:rsid w:val="00CF0447"/>
    <w:rsid w:val="00CF0514"/>
    <w:rsid w:val="00D014A7"/>
    <w:rsid w:val="00D0689E"/>
    <w:rsid w:val="00D27B76"/>
    <w:rsid w:val="00D3597D"/>
    <w:rsid w:val="00D40B83"/>
    <w:rsid w:val="00D54368"/>
    <w:rsid w:val="00D6113F"/>
    <w:rsid w:val="00D6472D"/>
    <w:rsid w:val="00D86CF4"/>
    <w:rsid w:val="00DB6036"/>
    <w:rsid w:val="00DB74BF"/>
    <w:rsid w:val="00DC2859"/>
    <w:rsid w:val="00DE2E1E"/>
    <w:rsid w:val="00E30EB5"/>
    <w:rsid w:val="00E34179"/>
    <w:rsid w:val="00E52F70"/>
    <w:rsid w:val="00E61FF2"/>
    <w:rsid w:val="00E75FAE"/>
    <w:rsid w:val="00E84BEA"/>
    <w:rsid w:val="00E91A8D"/>
    <w:rsid w:val="00EA2567"/>
    <w:rsid w:val="00EB5642"/>
    <w:rsid w:val="00EC3C98"/>
    <w:rsid w:val="00F57789"/>
    <w:rsid w:val="00F7080E"/>
    <w:rsid w:val="00FB2FA7"/>
    <w:rsid w:val="00FB330A"/>
    <w:rsid w:val="00FC4F68"/>
    <w:rsid w:val="00FD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1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64E8"/>
  </w:style>
  <w:style w:type="paragraph" w:styleId="Stopka">
    <w:name w:val="footer"/>
    <w:basedOn w:val="Normalny"/>
    <w:link w:val="StopkaZnak"/>
    <w:uiPriority w:val="99"/>
    <w:unhideWhenUsed/>
    <w:rsid w:val="0001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4E8"/>
  </w:style>
  <w:style w:type="paragraph" w:styleId="Tekstdymka">
    <w:name w:val="Balloon Text"/>
    <w:basedOn w:val="Normalny"/>
    <w:link w:val="TekstdymkaZnak"/>
    <w:uiPriority w:val="99"/>
    <w:semiHidden/>
    <w:unhideWhenUsed/>
    <w:rsid w:val="0001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4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64E8"/>
    <w:pPr>
      <w:ind w:left="720"/>
      <w:contextualSpacing/>
    </w:pPr>
  </w:style>
  <w:style w:type="paragraph" w:styleId="Tekstpodstawowy">
    <w:name w:val="Body Text"/>
    <w:aliases w:val="Standard paragraph,wypunktowanie"/>
    <w:basedOn w:val="Normalny"/>
    <w:link w:val="TekstpodstawowyZnak"/>
    <w:rsid w:val="000164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TekstpodstawowyZnak">
    <w:name w:val="Tekst podstawowy Znak"/>
    <w:aliases w:val="Standard paragraph Znak,wypunktowanie Znak"/>
    <w:basedOn w:val="Domylnaczcionkaakapitu"/>
    <w:link w:val="Tekstpodstawowy"/>
    <w:rsid w:val="000164E8"/>
    <w:rPr>
      <w:rFonts w:ascii="Times New Roman" w:eastAsia="Times New Roman" w:hAnsi="Times New Roman" w:cs="Times New Roman"/>
      <w:sz w:val="24"/>
      <w:szCs w:val="20"/>
      <w:lang w:val="ru-RU" w:eastAsia="pl-PL"/>
    </w:rPr>
  </w:style>
  <w:style w:type="paragraph" w:customStyle="1" w:styleId="Akapitzlist1">
    <w:name w:val="Akapit z listą1"/>
    <w:basedOn w:val="Normalny"/>
    <w:rsid w:val="00335AEE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Poprawka">
    <w:name w:val="Revision"/>
    <w:hidden/>
    <w:uiPriority w:val="99"/>
    <w:semiHidden/>
    <w:rsid w:val="000C71C0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2038C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38C8"/>
    <w:rPr>
      <w:rFonts w:ascii="Consolas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F5778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3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8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8DC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C4D1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604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1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64E8"/>
  </w:style>
  <w:style w:type="paragraph" w:styleId="Stopka">
    <w:name w:val="footer"/>
    <w:basedOn w:val="Normalny"/>
    <w:link w:val="StopkaZnak"/>
    <w:uiPriority w:val="99"/>
    <w:unhideWhenUsed/>
    <w:rsid w:val="0001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4E8"/>
  </w:style>
  <w:style w:type="paragraph" w:styleId="Tekstdymka">
    <w:name w:val="Balloon Text"/>
    <w:basedOn w:val="Normalny"/>
    <w:link w:val="TekstdymkaZnak"/>
    <w:uiPriority w:val="99"/>
    <w:semiHidden/>
    <w:unhideWhenUsed/>
    <w:rsid w:val="0001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4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64E8"/>
    <w:pPr>
      <w:ind w:left="720"/>
      <w:contextualSpacing/>
    </w:pPr>
  </w:style>
  <w:style w:type="paragraph" w:styleId="Tekstpodstawowy">
    <w:name w:val="Body Text"/>
    <w:aliases w:val="Standard paragraph,wypunktowanie"/>
    <w:basedOn w:val="Normalny"/>
    <w:link w:val="TekstpodstawowyZnak"/>
    <w:rsid w:val="000164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TekstpodstawowyZnak">
    <w:name w:val="Tekst podstawowy Znak"/>
    <w:aliases w:val="Standard paragraph Znak,wypunktowanie Znak"/>
    <w:basedOn w:val="Domylnaczcionkaakapitu"/>
    <w:link w:val="Tekstpodstawowy"/>
    <w:rsid w:val="000164E8"/>
    <w:rPr>
      <w:rFonts w:ascii="Times New Roman" w:eastAsia="Times New Roman" w:hAnsi="Times New Roman" w:cs="Times New Roman"/>
      <w:sz w:val="24"/>
      <w:szCs w:val="20"/>
      <w:lang w:val="ru-RU" w:eastAsia="pl-PL"/>
    </w:rPr>
  </w:style>
  <w:style w:type="paragraph" w:customStyle="1" w:styleId="Akapitzlist1">
    <w:name w:val="Akapit z listą1"/>
    <w:basedOn w:val="Normalny"/>
    <w:rsid w:val="00335AEE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Poprawka">
    <w:name w:val="Revision"/>
    <w:hidden/>
    <w:uiPriority w:val="99"/>
    <w:semiHidden/>
    <w:rsid w:val="000C71C0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2038C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38C8"/>
    <w:rPr>
      <w:rFonts w:ascii="Consolas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F5778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3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8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8DC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C4D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6926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906">
                  <w:marLeft w:val="0"/>
                  <w:marRight w:val="0"/>
                  <w:marTop w:val="0"/>
                  <w:marBottom w:val="80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177212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130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4853">
                      <w:marLeft w:val="0"/>
                      <w:marRight w:val="0"/>
                      <w:marTop w:val="0"/>
                      <w:marBottom w:val="80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18974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contracts_grants/info_contracts/inforeuro/index_en.c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budget/contracts_grants/info_contracts/inforeuro/index_en.cf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D39E9-D5D8-4F4A-A2F0-5C37C241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1978</Words>
  <Characters>11871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CPE</Company>
  <LinksUpToDate>false</LinksUpToDate>
  <CharactersWithSpaces>13822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katarzyna_bartnik</dc:creator>
  <cp:lastModifiedBy>anna_szczerbowska</cp:lastModifiedBy>
  <cp:revision>6</cp:revision>
  <cp:lastPrinted>2018-06-14T05:41:00Z</cp:lastPrinted>
  <dcterms:created xsi:type="dcterms:W3CDTF">2018-06-13T12:19:00Z</dcterms:created>
  <dcterms:modified xsi:type="dcterms:W3CDTF">2018-06-14T06:21:00Z</dcterms:modified>
</cp:coreProperties>
</file>